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CB774" w14:textId="11688826" w:rsidR="00933C91" w:rsidRDefault="00933C91" w:rsidP="00933C91">
      <w:pPr>
        <w:spacing w:line="360" w:lineRule="auto"/>
        <w:jc w:val="both"/>
      </w:pPr>
      <w:r>
        <w:t xml:space="preserve">                                          </w:t>
      </w:r>
      <w:r>
        <w:rPr>
          <w:noProof/>
        </w:rPr>
        <w:drawing>
          <wp:inline distT="0" distB="0" distL="0" distR="0" wp14:anchorId="4A2F0BF6" wp14:editId="0ACEDFC9">
            <wp:extent cx="445135" cy="445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E7815" w14:textId="77777777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933C91">
        <w:rPr>
          <w:rFonts w:ascii="Verdana" w:hAnsi="Verdana"/>
          <w:b/>
          <w:bCs/>
          <w:sz w:val="16"/>
          <w:szCs w:val="16"/>
        </w:rPr>
        <w:t xml:space="preserve">7 SZPITAL MARYNARKI WOJENNEJ Z PRZYCHODNIĄ </w:t>
      </w:r>
    </w:p>
    <w:p w14:paraId="37316438" w14:textId="0A9B89B6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     Samodzielny Publiczny Zakład Opieki Zdrowotnej</w:t>
      </w:r>
    </w:p>
    <w:p w14:paraId="7CDE80B9" w14:textId="6D3030FF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    im. kontradmirała profesora Wiesława Łasińskiego</w:t>
      </w:r>
    </w:p>
    <w:p w14:paraId="235117B3" w14:textId="5D1CAC1A" w:rsidR="00933C91" w:rsidRDefault="00933C91" w:rsidP="00933C91">
      <w:pPr>
        <w:spacing w:after="0" w:line="360" w:lineRule="auto"/>
        <w:jc w:val="both"/>
      </w:pPr>
      <w:r w:rsidRPr="00933C91">
        <w:rPr>
          <w:rFonts w:ascii="Verdana" w:hAnsi="Verdana"/>
          <w:sz w:val="16"/>
          <w:szCs w:val="16"/>
        </w:rPr>
        <w:t xml:space="preserve">               80-305 Gdańsk, ul. Polanki 117</w:t>
      </w:r>
      <w:r>
        <w:t xml:space="preserve">  </w:t>
      </w:r>
      <w:r>
        <w:tab/>
      </w:r>
      <w:r>
        <w:tab/>
      </w:r>
    </w:p>
    <w:p w14:paraId="57DE6B3E" w14:textId="77777777" w:rsidR="00933C91" w:rsidRDefault="00933C91" w:rsidP="00933C91">
      <w:pPr>
        <w:spacing w:line="360" w:lineRule="auto"/>
        <w:jc w:val="both"/>
      </w:pPr>
    </w:p>
    <w:p w14:paraId="7C7FA16C" w14:textId="4182A231" w:rsidR="00933C91" w:rsidRDefault="00933C91" w:rsidP="00933C91">
      <w:pPr>
        <w:spacing w:line="360" w:lineRule="auto"/>
        <w:jc w:val="right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Gdańsk, dnia </w:t>
      </w:r>
      <w:r w:rsidR="005468F2">
        <w:rPr>
          <w:rFonts w:ascii="Verdana" w:hAnsi="Verdana"/>
          <w:sz w:val="16"/>
          <w:szCs w:val="16"/>
        </w:rPr>
        <w:t>11.09</w:t>
      </w:r>
      <w:r w:rsidR="00B83119">
        <w:rPr>
          <w:rFonts w:ascii="Verdana" w:hAnsi="Verdana"/>
          <w:sz w:val="16"/>
          <w:szCs w:val="16"/>
        </w:rPr>
        <w:t>.2026</w:t>
      </w:r>
      <w:r w:rsidRPr="00933C91">
        <w:rPr>
          <w:rFonts w:ascii="Verdana" w:hAnsi="Verdana"/>
          <w:sz w:val="16"/>
          <w:szCs w:val="16"/>
        </w:rPr>
        <w:t xml:space="preserve"> r.</w:t>
      </w:r>
      <w:r w:rsidRPr="00933C91">
        <w:rPr>
          <w:rFonts w:ascii="Verdana" w:hAnsi="Verdana"/>
          <w:sz w:val="16"/>
          <w:szCs w:val="16"/>
        </w:rPr>
        <w:tab/>
      </w:r>
    </w:p>
    <w:p w14:paraId="31F78CB7" w14:textId="77777777" w:rsidR="005468F2" w:rsidRDefault="005468F2" w:rsidP="001B4213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385AEF6E" w14:textId="52E8F128" w:rsidR="001B4213" w:rsidRDefault="001B4213" w:rsidP="001B421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Dotyczy: postępowania pn. </w:t>
      </w:r>
      <w:r w:rsidRPr="001B4213">
        <w:rPr>
          <w:rFonts w:ascii="Verdana" w:hAnsi="Verdana"/>
          <w:sz w:val="16"/>
          <w:szCs w:val="16"/>
        </w:rPr>
        <w:t>USŁUGA PRZYGOTOWANIA I DOSTAWY CAŁODZIENNEGO WYŻYWIENIA DLA PACJENTÓW SZPITALA Z UWZGLĘDNIENIEM DIET I KALORYCZNOŚCI ORAZ PRODUKCJI I DOSTAWIE POSIŁKÓW PROFILAKTYCZNYCH DLA PRACOWNIKÓW SZPITALA – CATERING</w:t>
      </w:r>
      <w:r>
        <w:rPr>
          <w:rFonts w:ascii="Verdana" w:hAnsi="Verdana"/>
          <w:sz w:val="16"/>
          <w:szCs w:val="16"/>
        </w:rPr>
        <w:t>, nr 500/2026/TP</w:t>
      </w:r>
    </w:p>
    <w:p w14:paraId="02CB6C54" w14:textId="2FA697C6" w:rsidR="001B4213" w:rsidRPr="001B4213" w:rsidRDefault="001B4213" w:rsidP="001B4213">
      <w:p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B4213">
        <w:rPr>
          <w:rFonts w:ascii="Verdana" w:hAnsi="Verdana"/>
          <w:b/>
          <w:bCs/>
          <w:sz w:val="16"/>
          <w:szCs w:val="16"/>
        </w:rPr>
        <w:t>Odpowiedź na wniosek o niezwłoczne wyjaśnienie i zmianę treści SWZ oraz przedłużenie terminu składania ofert</w:t>
      </w:r>
      <w:r>
        <w:rPr>
          <w:rFonts w:ascii="Verdana" w:hAnsi="Verdana"/>
          <w:b/>
          <w:bCs/>
          <w:sz w:val="16"/>
          <w:szCs w:val="16"/>
        </w:rPr>
        <w:t xml:space="preserve"> z dnia 10.09.2026r.</w:t>
      </w:r>
    </w:p>
    <w:p w14:paraId="7EC08545" w14:textId="77777777" w:rsidR="00B56306" w:rsidRDefault="001B4213" w:rsidP="005468F2">
      <w:p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  <w:r w:rsidRPr="001B4213">
        <w:rPr>
          <w:rFonts w:ascii="Verdana" w:eastAsia="Calibri" w:hAnsi="Verdana" w:cs="Times New Roman"/>
          <w:bCs/>
          <w:sz w:val="16"/>
          <w:szCs w:val="16"/>
        </w:rPr>
        <w:t xml:space="preserve">W </w:t>
      </w:r>
      <w:r>
        <w:rPr>
          <w:rFonts w:ascii="Verdana" w:eastAsia="Calibri" w:hAnsi="Verdana" w:cs="Times New Roman"/>
          <w:bCs/>
          <w:sz w:val="16"/>
          <w:szCs w:val="16"/>
        </w:rPr>
        <w:t>piśmie z dnia 10.09.2026r. dotyczącym postępowania 500/2026/TP – „Catering” potencjalny Wykonawca zarzucił Zamawiającemu</w:t>
      </w:r>
      <w:r w:rsidR="00B56306">
        <w:rPr>
          <w:rFonts w:ascii="Verdana" w:eastAsia="Calibri" w:hAnsi="Verdana" w:cs="Times New Roman"/>
          <w:bCs/>
          <w:sz w:val="16"/>
          <w:szCs w:val="16"/>
        </w:rPr>
        <w:t>:</w:t>
      </w:r>
    </w:p>
    <w:p w14:paraId="61249178" w14:textId="77777777" w:rsidR="00B56306" w:rsidRDefault="001B4213" w:rsidP="00B563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  <w:r w:rsidRPr="00B56306">
        <w:rPr>
          <w:rFonts w:ascii="Verdana" w:eastAsia="Calibri" w:hAnsi="Verdana" w:cs="Times New Roman"/>
          <w:bCs/>
          <w:sz w:val="16"/>
          <w:szCs w:val="16"/>
        </w:rPr>
        <w:t xml:space="preserve">niejednoznaczność i sprzeczność odnoszące się kryteriów oceny ofert, </w:t>
      </w:r>
    </w:p>
    <w:p w14:paraId="25A4C413" w14:textId="77777777" w:rsidR="00B56306" w:rsidRDefault="001B4213" w:rsidP="00B563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  <w:r w:rsidRPr="00B56306">
        <w:rPr>
          <w:rFonts w:ascii="Verdana" w:eastAsia="Calibri" w:hAnsi="Verdana" w:cs="Times New Roman"/>
          <w:bCs/>
          <w:sz w:val="16"/>
          <w:szCs w:val="16"/>
        </w:rPr>
        <w:t>operowanie błędnymi artykułami ustawy Pzp</w:t>
      </w:r>
      <w:r w:rsidR="00B56306">
        <w:rPr>
          <w:rFonts w:ascii="Verdana" w:eastAsia="Calibri" w:hAnsi="Verdana" w:cs="Times New Roman"/>
          <w:bCs/>
          <w:sz w:val="16"/>
          <w:szCs w:val="16"/>
        </w:rPr>
        <w:t>,</w:t>
      </w:r>
    </w:p>
    <w:p w14:paraId="497A3DB2" w14:textId="34BBD9F1" w:rsidR="005468F2" w:rsidRPr="00B56306" w:rsidRDefault="001B4213" w:rsidP="00B563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  <w:r w:rsidRPr="00B56306">
        <w:rPr>
          <w:rFonts w:ascii="Verdana" w:eastAsia="Calibri" w:hAnsi="Verdana" w:cs="Times New Roman"/>
          <w:bCs/>
          <w:sz w:val="16"/>
          <w:szCs w:val="16"/>
        </w:rPr>
        <w:t xml:space="preserve">nieodpowiednie przedłużenie terminu składania ofert. </w:t>
      </w:r>
    </w:p>
    <w:p w14:paraId="420D5026" w14:textId="69ACFEE8" w:rsidR="001B4213" w:rsidRDefault="001B4213" w:rsidP="005468F2">
      <w:p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  <w:r>
        <w:rPr>
          <w:rFonts w:ascii="Verdana" w:eastAsia="Calibri" w:hAnsi="Verdana" w:cs="Times New Roman"/>
          <w:bCs/>
          <w:sz w:val="16"/>
          <w:szCs w:val="16"/>
        </w:rPr>
        <w:t>Zamawiający mając na uwadze powyższe udziela odpowiedzi</w:t>
      </w:r>
      <w:r w:rsidR="00B56306">
        <w:rPr>
          <w:rFonts w:ascii="Verdana" w:eastAsia="Calibri" w:hAnsi="Verdana" w:cs="Times New Roman"/>
          <w:bCs/>
          <w:sz w:val="16"/>
          <w:szCs w:val="16"/>
        </w:rPr>
        <w:t xml:space="preserve"> w sposób niezwłoczny.</w:t>
      </w:r>
    </w:p>
    <w:p w14:paraId="427B44C8" w14:textId="77777777" w:rsidR="00B56306" w:rsidRDefault="00B56306" w:rsidP="005468F2">
      <w:pPr>
        <w:spacing w:after="0" w:line="360" w:lineRule="auto"/>
        <w:jc w:val="both"/>
        <w:rPr>
          <w:rFonts w:ascii="Verdana" w:eastAsia="Calibri" w:hAnsi="Verdana" w:cs="Times New Roman"/>
          <w:bCs/>
          <w:sz w:val="16"/>
          <w:szCs w:val="16"/>
        </w:rPr>
      </w:pPr>
    </w:p>
    <w:p w14:paraId="468E5406" w14:textId="12C02EC1" w:rsidR="00B56306" w:rsidRPr="00B56306" w:rsidRDefault="00B56306" w:rsidP="00B5630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B56306">
        <w:rPr>
          <w:rFonts w:ascii="Verdana" w:eastAsia="Calibri" w:hAnsi="Verdana" w:cs="Times New Roman"/>
          <w:b/>
          <w:sz w:val="16"/>
          <w:szCs w:val="16"/>
        </w:rPr>
        <w:t>Sposób odpowiedzi na pytania nr 48 i 49</w:t>
      </w:r>
      <w:r>
        <w:rPr>
          <w:rFonts w:ascii="Verdana" w:eastAsia="Calibri" w:hAnsi="Verdana" w:cs="Times New Roman"/>
          <w:b/>
          <w:sz w:val="16"/>
          <w:szCs w:val="16"/>
        </w:rPr>
        <w:t>.</w:t>
      </w:r>
    </w:p>
    <w:p w14:paraId="70729BC2" w14:textId="6DBA0079" w:rsidR="00157362" w:rsidRDefault="005468F2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 w:rsidRPr="005468F2">
        <w:rPr>
          <w:rFonts w:ascii="Verdana" w:eastAsia="Calibri" w:hAnsi="Verdana" w:cs="Times New Roman"/>
          <w:sz w:val="16"/>
          <w:szCs w:val="16"/>
        </w:rPr>
        <w:t>Zamawiający informuje, iż nastąpiła oczywista omyłka pisarska przy powołaniu się na art. 135</w:t>
      </w:r>
      <w:r w:rsidR="00157362">
        <w:rPr>
          <w:rFonts w:ascii="Verdana" w:eastAsia="Calibri" w:hAnsi="Verdana" w:cs="Times New Roman"/>
          <w:sz w:val="16"/>
          <w:szCs w:val="16"/>
        </w:rPr>
        <w:t xml:space="preserve"> Pzp</w:t>
      </w:r>
      <w:r w:rsidR="00B56306">
        <w:rPr>
          <w:rFonts w:ascii="Verdana" w:eastAsia="Calibri" w:hAnsi="Verdana" w:cs="Times New Roman"/>
          <w:sz w:val="16"/>
          <w:szCs w:val="16"/>
        </w:rPr>
        <w:t xml:space="preserve">, który zobowiązuje Zamawiającego do udzielenia wyjaśnień niezwłocznie, jednak nie później niż na 6 dni przed terminem składania ofert. Co wskazuje </w:t>
      </w:r>
      <w:r w:rsidR="00157362">
        <w:rPr>
          <w:rFonts w:ascii="Verdana" w:eastAsia="Calibri" w:hAnsi="Verdana" w:cs="Times New Roman"/>
          <w:sz w:val="16"/>
          <w:szCs w:val="16"/>
        </w:rPr>
        <w:t>jednoznacznie</w:t>
      </w:r>
      <w:r w:rsidR="00B56306">
        <w:rPr>
          <w:rFonts w:ascii="Verdana" w:eastAsia="Calibri" w:hAnsi="Verdana" w:cs="Times New Roman"/>
          <w:sz w:val="16"/>
          <w:szCs w:val="16"/>
        </w:rPr>
        <w:t xml:space="preserve"> na tryb postępowania powyżej 140 tysięcy </w:t>
      </w:r>
      <w:r w:rsidR="007D6FC0">
        <w:rPr>
          <w:rFonts w:ascii="Verdana" w:eastAsia="Calibri" w:hAnsi="Verdana" w:cs="Times New Roman"/>
          <w:sz w:val="16"/>
          <w:szCs w:val="16"/>
        </w:rPr>
        <w:t>euro</w:t>
      </w:r>
      <w:r w:rsidR="00B56306">
        <w:rPr>
          <w:rFonts w:ascii="Verdana" w:eastAsia="Calibri" w:hAnsi="Verdana" w:cs="Times New Roman"/>
          <w:sz w:val="16"/>
          <w:szCs w:val="16"/>
        </w:rPr>
        <w:t xml:space="preserve"> netto</w:t>
      </w:r>
      <w:r w:rsidR="00157362">
        <w:rPr>
          <w:rFonts w:ascii="Verdana" w:eastAsia="Calibri" w:hAnsi="Verdana" w:cs="Times New Roman"/>
          <w:sz w:val="16"/>
          <w:szCs w:val="16"/>
        </w:rPr>
        <w:t xml:space="preserve">, którego podstawą  jest art. 132 Pzp. </w:t>
      </w:r>
    </w:p>
    <w:p w14:paraId="528563D0" w14:textId="68FFA61E" w:rsidR="00157362" w:rsidRDefault="00157362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>
        <w:rPr>
          <w:rFonts w:ascii="Verdana" w:eastAsia="Calibri" w:hAnsi="Verdana" w:cs="Times New Roman"/>
          <w:sz w:val="16"/>
          <w:szCs w:val="16"/>
        </w:rPr>
        <w:t xml:space="preserve">Zamawiający jako prawidłową podstawę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 xml:space="preserve"> </w:t>
      </w:r>
      <w:r>
        <w:rPr>
          <w:rFonts w:ascii="Verdana" w:eastAsia="Calibri" w:hAnsi="Verdana" w:cs="Times New Roman"/>
          <w:sz w:val="16"/>
          <w:szCs w:val="16"/>
        </w:rPr>
        <w:t xml:space="preserve">winien podać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art. 284 Pzp.</w:t>
      </w:r>
      <w:r>
        <w:rPr>
          <w:rFonts w:ascii="Verdana" w:eastAsia="Calibri" w:hAnsi="Verdana" w:cs="Times New Roman"/>
          <w:sz w:val="16"/>
          <w:szCs w:val="16"/>
        </w:rPr>
        <w:t>, który w treści różni się terminem udzielanej odpowiedzi na zadane pytania i odnosi do nie później niż na 2 dni przed terminem składania ofert. Tryb postępowania zgodnie z art. 275 ust. 1 Pzp to tryb podstawowy w tym wypadku bez negocjacji.</w:t>
      </w:r>
    </w:p>
    <w:p w14:paraId="719DBB44" w14:textId="44D8019E" w:rsidR="005468F2" w:rsidRPr="005468F2" w:rsidRDefault="005468F2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 w:rsidRPr="005468F2">
        <w:rPr>
          <w:rFonts w:ascii="Verdana" w:eastAsia="Calibri" w:hAnsi="Verdana" w:cs="Times New Roman"/>
          <w:sz w:val="16"/>
          <w:szCs w:val="16"/>
        </w:rPr>
        <w:t xml:space="preserve">Zamawiający </w:t>
      </w:r>
      <w:r w:rsidR="0048797A">
        <w:rPr>
          <w:rFonts w:ascii="Verdana" w:eastAsia="Calibri" w:hAnsi="Verdana" w:cs="Times New Roman"/>
          <w:sz w:val="16"/>
          <w:szCs w:val="16"/>
        </w:rPr>
        <w:t xml:space="preserve">ma na uwadze popełniony błąd, którego jednak nie należy traktować jako kardynalny i mający jednoznaczny wpływ na dalsze działania w w/w postępowaniu. </w:t>
      </w:r>
    </w:p>
    <w:p w14:paraId="788180D2" w14:textId="2760C25C" w:rsidR="005468F2" w:rsidRPr="005468F2" w:rsidRDefault="0048797A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>
        <w:rPr>
          <w:rFonts w:ascii="Verdana" w:eastAsia="Calibri" w:hAnsi="Verdana" w:cs="Times New Roman"/>
          <w:sz w:val="16"/>
          <w:szCs w:val="16"/>
        </w:rPr>
        <w:t>Ponadto</w:t>
      </w:r>
      <w:r w:rsidR="00901B0C">
        <w:rPr>
          <w:rFonts w:ascii="Verdana" w:eastAsia="Calibri" w:hAnsi="Verdana" w:cs="Times New Roman"/>
          <w:sz w:val="16"/>
          <w:szCs w:val="16"/>
        </w:rPr>
        <w:t>,</w:t>
      </w:r>
      <w:r>
        <w:rPr>
          <w:rFonts w:ascii="Verdana" w:eastAsia="Calibri" w:hAnsi="Verdana" w:cs="Times New Roman"/>
          <w:sz w:val="16"/>
          <w:szCs w:val="16"/>
        </w:rPr>
        <w:t xml:space="preserve">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art. 284 Pzp mówi wprost, iż Wykonawca może zwrócić się do Zamawiającego o wyjaśnienie treści SWZ oraz OPZ. Wykonawca</w:t>
      </w:r>
      <w:r>
        <w:rPr>
          <w:rFonts w:ascii="Verdana" w:eastAsia="Calibri" w:hAnsi="Verdana" w:cs="Times New Roman"/>
          <w:sz w:val="16"/>
          <w:szCs w:val="16"/>
        </w:rPr>
        <w:t>,</w:t>
      </w:r>
      <w:r w:rsidR="005468F2" w:rsidRPr="005468F2">
        <w:rPr>
          <w:rFonts w:ascii="Verdana" w:eastAsia="Calibri" w:hAnsi="Verdana" w:cs="Times New Roman"/>
          <w:sz w:val="16"/>
          <w:szCs w:val="16"/>
        </w:rPr>
        <w:t xml:space="preserve"> który nie rozumie </w:t>
      </w:r>
      <w:r>
        <w:rPr>
          <w:rFonts w:ascii="Verdana" w:eastAsia="Calibri" w:hAnsi="Verdana" w:cs="Times New Roman"/>
          <w:sz w:val="16"/>
          <w:szCs w:val="16"/>
        </w:rPr>
        <w:t xml:space="preserve">treści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S</w:t>
      </w:r>
      <w:r>
        <w:rPr>
          <w:rFonts w:ascii="Verdana" w:eastAsia="Calibri" w:hAnsi="Verdana" w:cs="Times New Roman"/>
          <w:sz w:val="16"/>
          <w:szCs w:val="16"/>
        </w:rPr>
        <w:t xml:space="preserve">pecyfikacji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W</w:t>
      </w:r>
      <w:r>
        <w:rPr>
          <w:rFonts w:ascii="Verdana" w:eastAsia="Calibri" w:hAnsi="Verdana" w:cs="Times New Roman"/>
          <w:sz w:val="16"/>
          <w:szCs w:val="16"/>
        </w:rPr>
        <w:t xml:space="preserve">arunków 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Z</w:t>
      </w:r>
      <w:r>
        <w:rPr>
          <w:rFonts w:ascii="Verdana" w:eastAsia="Calibri" w:hAnsi="Verdana" w:cs="Times New Roman"/>
          <w:sz w:val="16"/>
          <w:szCs w:val="16"/>
        </w:rPr>
        <w:t>amówienia</w:t>
      </w:r>
      <w:r w:rsidR="00901B0C">
        <w:rPr>
          <w:rFonts w:ascii="Verdana" w:eastAsia="Calibri" w:hAnsi="Verdana" w:cs="Times New Roman"/>
          <w:sz w:val="16"/>
          <w:szCs w:val="16"/>
        </w:rPr>
        <w:t xml:space="preserve"> czy opisu przedmiotu zamówienia</w:t>
      </w:r>
      <w:r w:rsidR="005468F2" w:rsidRPr="005468F2">
        <w:rPr>
          <w:rFonts w:ascii="Verdana" w:eastAsia="Calibri" w:hAnsi="Verdana" w:cs="Times New Roman"/>
          <w:sz w:val="16"/>
          <w:szCs w:val="16"/>
        </w:rPr>
        <w:t>, może zadać pytanie Zamawiającemu celem wyjaśnienia niejasnych zapisów.</w:t>
      </w:r>
      <w:r w:rsidR="00901B0C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1B37FCD7" w14:textId="204E706F" w:rsidR="005468F2" w:rsidRDefault="005468F2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 w:rsidRPr="005468F2">
        <w:rPr>
          <w:rFonts w:ascii="Verdana" w:eastAsia="Calibri" w:hAnsi="Verdana" w:cs="Times New Roman"/>
          <w:sz w:val="16"/>
          <w:szCs w:val="16"/>
        </w:rPr>
        <w:t>Zamawiający wyjaśnia, iż Wykonawca nie zadał pytania, nigdzie nie uży</w:t>
      </w:r>
      <w:r w:rsidR="002D095C">
        <w:rPr>
          <w:rFonts w:ascii="Verdana" w:eastAsia="Calibri" w:hAnsi="Verdana" w:cs="Times New Roman"/>
          <w:sz w:val="16"/>
          <w:szCs w:val="16"/>
        </w:rPr>
        <w:t>ł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znaku zapytania</w:t>
      </w:r>
      <w:r w:rsidR="002D095C">
        <w:rPr>
          <w:rFonts w:ascii="Verdana" w:eastAsia="Calibri" w:hAnsi="Verdana" w:cs="Times New Roman"/>
          <w:sz w:val="16"/>
          <w:szCs w:val="16"/>
        </w:rPr>
        <w:t xml:space="preserve">. </w:t>
      </w:r>
      <w:r w:rsidRPr="005468F2">
        <w:rPr>
          <w:rFonts w:ascii="Verdana" w:eastAsia="Calibri" w:hAnsi="Verdana" w:cs="Times New Roman"/>
          <w:sz w:val="16"/>
          <w:szCs w:val="16"/>
        </w:rPr>
        <w:t>Wykonawca jedynie wnosi o zmianę zapisów SWZ</w:t>
      </w:r>
      <w:r w:rsidR="002D095C">
        <w:rPr>
          <w:rFonts w:ascii="Verdana" w:eastAsia="Calibri" w:hAnsi="Verdana" w:cs="Times New Roman"/>
          <w:sz w:val="16"/>
          <w:szCs w:val="16"/>
        </w:rPr>
        <w:t>.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</w:t>
      </w:r>
      <w:r w:rsidR="002D095C">
        <w:rPr>
          <w:rFonts w:ascii="Verdana" w:eastAsia="Calibri" w:hAnsi="Verdana" w:cs="Times New Roman"/>
          <w:sz w:val="16"/>
          <w:szCs w:val="16"/>
        </w:rPr>
        <w:t>Zamawiający domniema iż, z</w:t>
      </w:r>
      <w:r w:rsidRPr="005468F2">
        <w:rPr>
          <w:rFonts w:ascii="Verdana" w:eastAsia="Calibri" w:hAnsi="Verdana" w:cs="Times New Roman"/>
          <w:sz w:val="16"/>
          <w:szCs w:val="16"/>
        </w:rPr>
        <w:t>apisy</w:t>
      </w:r>
      <w:r w:rsidR="002D095C">
        <w:rPr>
          <w:rFonts w:ascii="Verdana" w:eastAsia="Calibri" w:hAnsi="Verdana" w:cs="Times New Roman"/>
          <w:sz w:val="16"/>
          <w:szCs w:val="16"/>
        </w:rPr>
        <w:t xml:space="preserve"> SWZ zostały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zrozumia</w:t>
      </w:r>
      <w:r w:rsidR="002D095C">
        <w:rPr>
          <w:rFonts w:ascii="Verdana" w:eastAsia="Calibri" w:hAnsi="Verdana" w:cs="Times New Roman"/>
          <w:sz w:val="16"/>
          <w:szCs w:val="16"/>
        </w:rPr>
        <w:t>ne przez Wykonawcę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</w:t>
      </w:r>
      <w:r w:rsidR="002D095C">
        <w:rPr>
          <w:rFonts w:ascii="Verdana" w:eastAsia="Calibri" w:hAnsi="Verdana" w:cs="Times New Roman"/>
          <w:sz w:val="16"/>
          <w:szCs w:val="16"/>
        </w:rPr>
        <w:t xml:space="preserve">a </w:t>
      </w:r>
      <w:r w:rsidRPr="005468F2">
        <w:rPr>
          <w:rFonts w:ascii="Verdana" w:eastAsia="Calibri" w:hAnsi="Verdana" w:cs="Times New Roman"/>
          <w:sz w:val="16"/>
          <w:szCs w:val="16"/>
        </w:rPr>
        <w:t>wnosi o ich zmianę gdyż prawdopodobnie nie są one po myśli Wykonawcy.</w:t>
      </w:r>
    </w:p>
    <w:p w14:paraId="69F79144" w14:textId="7DAF8F36" w:rsidR="002D095C" w:rsidRDefault="002D095C" w:rsidP="005468F2">
      <w:pPr>
        <w:spacing w:after="0" w:line="360" w:lineRule="auto"/>
        <w:jc w:val="both"/>
        <w:rPr>
          <w:rFonts w:ascii="Verdana" w:hAnsi="Verdana" w:cs="Open Sans"/>
          <w:color w:val="000000"/>
          <w:sz w:val="16"/>
          <w:szCs w:val="16"/>
        </w:rPr>
      </w:pPr>
      <w:r>
        <w:rPr>
          <w:rFonts w:ascii="Verdana" w:hAnsi="Verdana" w:cs="Open Sans"/>
          <w:color w:val="000000"/>
          <w:sz w:val="16"/>
          <w:szCs w:val="16"/>
        </w:rPr>
        <w:t>J</w:t>
      </w:r>
      <w:r w:rsidRPr="002D095C">
        <w:rPr>
          <w:rFonts w:ascii="Verdana" w:hAnsi="Verdana" w:cs="Open Sans"/>
          <w:color w:val="000000"/>
          <w:sz w:val="16"/>
          <w:szCs w:val="16"/>
        </w:rPr>
        <w:t xml:space="preserve">eżeli </w:t>
      </w:r>
      <w:r>
        <w:rPr>
          <w:rFonts w:ascii="Verdana" w:hAnsi="Verdana" w:cs="Open Sans"/>
          <w:color w:val="000000"/>
          <w:sz w:val="16"/>
          <w:szCs w:val="16"/>
        </w:rPr>
        <w:t>Z</w:t>
      </w:r>
      <w:r w:rsidRPr="002D095C">
        <w:rPr>
          <w:rFonts w:ascii="Verdana" w:hAnsi="Verdana" w:cs="Open Sans"/>
          <w:color w:val="000000"/>
          <w:sz w:val="16"/>
          <w:szCs w:val="16"/>
        </w:rPr>
        <w:t xml:space="preserve">amawiający nie udzieli </w:t>
      </w:r>
      <w:r>
        <w:rPr>
          <w:rFonts w:ascii="Verdana" w:hAnsi="Verdana" w:cs="Open Sans"/>
          <w:color w:val="000000"/>
          <w:sz w:val="16"/>
          <w:szCs w:val="16"/>
        </w:rPr>
        <w:t>odpowiedzi</w:t>
      </w:r>
      <w:r w:rsidRPr="002D095C">
        <w:rPr>
          <w:rFonts w:ascii="Verdana" w:hAnsi="Verdana" w:cs="Open Sans"/>
          <w:color w:val="000000"/>
          <w:sz w:val="16"/>
          <w:szCs w:val="16"/>
        </w:rPr>
        <w:t xml:space="preserve"> w przepisanym terminie, a wniosek o wyjaśnienie wpłynął do </w:t>
      </w:r>
      <w:r>
        <w:rPr>
          <w:rFonts w:ascii="Verdana" w:hAnsi="Verdana" w:cs="Open Sans"/>
          <w:color w:val="000000"/>
          <w:sz w:val="16"/>
          <w:szCs w:val="16"/>
        </w:rPr>
        <w:t>Z</w:t>
      </w:r>
      <w:r w:rsidRPr="002D095C">
        <w:rPr>
          <w:rFonts w:ascii="Verdana" w:hAnsi="Verdana" w:cs="Open Sans"/>
          <w:color w:val="000000"/>
          <w:sz w:val="16"/>
          <w:szCs w:val="16"/>
        </w:rPr>
        <w:t>amawiającego z zachowaniem ustawowego terminu</w:t>
      </w:r>
      <w:r>
        <w:rPr>
          <w:rFonts w:ascii="Verdana" w:hAnsi="Verdana" w:cs="Open Sans"/>
          <w:color w:val="000000"/>
          <w:sz w:val="16"/>
          <w:szCs w:val="16"/>
        </w:rPr>
        <w:t>, Zamawiający zobligowany jest do przedłużenia terminu</w:t>
      </w:r>
      <w:r w:rsidRPr="002D095C">
        <w:rPr>
          <w:rStyle w:val="Pogrubienie"/>
          <w:rFonts w:ascii="Verdana" w:hAnsi="Verdana" w:cs="Open Sans"/>
          <w:b w:val="0"/>
          <w:bCs w:val="0"/>
          <w:color w:val="000000"/>
          <w:sz w:val="16"/>
          <w:szCs w:val="16"/>
          <w:bdr w:val="single" w:sz="2" w:space="0" w:color="E5E7EB" w:frame="1"/>
        </w:rPr>
        <w:t> </w:t>
      </w:r>
      <w:r w:rsidRPr="002D095C">
        <w:rPr>
          <w:rFonts w:ascii="Verdana" w:hAnsi="Verdana" w:cs="Open Sans"/>
          <w:color w:val="000000"/>
          <w:sz w:val="16"/>
          <w:szCs w:val="16"/>
        </w:rPr>
        <w:t>składania ofert</w:t>
      </w:r>
      <w:r>
        <w:rPr>
          <w:rFonts w:ascii="Verdana" w:hAnsi="Verdana" w:cs="Open Sans"/>
          <w:color w:val="000000"/>
          <w:sz w:val="16"/>
          <w:szCs w:val="16"/>
        </w:rPr>
        <w:t xml:space="preserve">. Odpowiedzi zostały udzielone w terminie a mimo to termin został przesunięty na 14.09.2026r. </w:t>
      </w:r>
    </w:p>
    <w:p w14:paraId="0D5CA6A0" w14:textId="2CDE6E30" w:rsidR="002D095C" w:rsidRDefault="002D095C" w:rsidP="005468F2">
      <w:pPr>
        <w:spacing w:after="0" w:line="360" w:lineRule="auto"/>
        <w:jc w:val="both"/>
        <w:rPr>
          <w:rFonts w:ascii="Verdana" w:hAnsi="Verdana" w:cs="Open Sans"/>
          <w:color w:val="000000"/>
          <w:sz w:val="16"/>
          <w:szCs w:val="16"/>
        </w:rPr>
      </w:pPr>
      <w:r>
        <w:rPr>
          <w:rFonts w:ascii="Verdana" w:hAnsi="Verdana" w:cs="Open Sans"/>
          <w:color w:val="000000"/>
          <w:sz w:val="16"/>
          <w:szCs w:val="16"/>
        </w:rPr>
        <w:t>Zamawiający nie rozumie postawy potencjalnego Wykonawcy</w:t>
      </w:r>
      <w:r w:rsidR="009120D0">
        <w:rPr>
          <w:rFonts w:ascii="Verdana" w:hAnsi="Verdana" w:cs="Open Sans"/>
          <w:color w:val="000000"/>
          <w:sz w:val="16"/>
          <w:szCs w:val="16"/>
        </w:rPr>
        <w:t>.</w:t>
      </w:r>
    </w:p>
    <w:p w14:paraId="6ACE2126" w14:textId="77777777" w:rsidR="009120D0" w:rsidRDefault="009120D0" w:rsidP="005468F2">
      <w:pPr>
        <w:spacing w:after="0" w:line="360" w:lineRule="auto"/>
        <w:jc w:val="both"/>
        <w:rPr>
          <w:rFonts w:ascii="Verdana" w:hAnsi="Verdana" w:cs="Open Sans"/>
          <w:color w:val="000000"/>
          <w:sz w:val="16"/>
          <w:szCs w:val="16"/>
        </w:rPr>
      </w:pPr>
    </w:p>
    <w:p w14:paraId="5F2580BB" w14:textId="356E5D41" w:rsidR="009120D0" w:rsidRPr="009120D0" w:rsidRDefault="009120D0" w:rsidP="009120D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eastAsia="Calibri" w:hAnsi="Verdana" w:cs="Times New Roman"/>
          <w:b/>
          <w:bCs/>
          <w:sz w:val="16"/>
          <w:szCs w:val="16"/>
        </w:rPr>
      </w:pPr>
      <w:r w:rsidRPr="009120D0">
        <w:rPr>
          <w:rFonts w:ascii="Verdana" w:eastAsia="Calibri" w:hAnsi="Verdana" w:cs="Times New Roman"/>
          <w:b/>
          <w:bCs/>
          <w:sz w:val="16"/>
          <w:szCs w:val="16"/>
        </w:rPr>
        <w:lastRenderedPageBreak/>
        <w:t>Sprzeczność dotycząca sposobu przyznania punktów za odległość kuchni</w:t>
      </w:r>
      <w:r>
        <w:rPr>
          <w:rFonts w:ascii="Verdana" w:eastAsia="Calibri" w:hAnsi="Verdana" w:cs="Times New Roman"/>
          <w:b/>
          <w:bCs/>
          <w:sz w:val="16"/>
          <w:szCs w:val="16"/>
        </w:rPr>
        <w:t xml:space="preserve"> oraz brak obiektywnej metody pomiaru odległości.</w:t>
      </w:r>
    </w:p>
    <w:p w14:paraId="5F348B55" w14:textId="28192431" w:rsidR="005468F2" w:rsidRPr="00296E4D" w:rsidRDefault="005468F2" w:rsidP="006C0607">
      <w:pPr>
        <w:spacing w:after="0" w:line="360" w:lineRule="auto"/>
        <w:jc w:val="both"/>
        <w:rPr>
          <w:rFonts w:ascii="Verdana" w:eastAsia="Calibri" w:hAnsi="Verdana" w:cs="Arial"/>
          <w:bCs/>
          <w:sz w:val="16"/>
          <w:szCs w:val="16"/>
        </w:rPr>
      </w:pPr>
      <w:r w:rsidRPr="005468F2">
        <w:rPr>
          <w:rFonts w:ascii="Verdana" w:eastAsia="Calibri" w:hAnsi="Verdana" w:cs="Times New Roman"/>
          <w:sz w:val="16"/>
          <w:szCs w:val="16"/>
        </w:rPr>
        <w:t xml:space="preserve">Zamawiający wyjaśnia Wykonawcy, iż </w:t>
      </w:r>
      <w:r w:rsidRPr="005468F2">
        <w:rPr>
          <w:rFonts w:ascii="Verdana" w:eastAsia="Calibri" w:hAnsi="Verdana" w:cs="Arial"/>
          <w:bCs/>
          <w:sz w:val="16"/>
          <w:szCs w:val="16"/>
        </w:rPr>
        <w:t>28 lipca 2016 r.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– weszła w życie nowelizacja z 22 czerwca 2016 r.</w:t>
      </w:r>
      <w:r w:rsidR="002A4E03">
        <w:t xml:space="preserve"> </w:t>
      </w:r>
      <w:r w:rsidR="009120D0">
        <w:t>[</w:t>
      </w:r>
      <w:r w:rsidR="009120D0" w:rsidRPr="009120D0">
        <w:rPr>
          <w:rFonts w:ascii="Verdana" w:eastAsia="Calibri" w:hAnsi="Verdana" w:cs="Times New Roman"/>
          <w:sz w:val="16"/>
          <w:szCs w:val="16"/>
        </w:rPr>
        <w:t>Dz.U.2016 poz. 1020</w:t>
      </w:r>
      <w:r w:rsidR="009120D0">
        <w:rPr>
          <w:rFonts w:ascii="Verdana" w:eastAsia="Calibri" w:hAnsi="Verdana" w:cs="Times New Roman"/>
          <w:sz w:val="16"/>
          <w:szCs w:val="16"/>
        </w:rPr>
        <w:t>]</w:t>
      </w:r>
      <w:r w:rsidRPr="005468F2">
        <w:rPr>
          <w:rFonts w:ascii="Verdana" w:eastAsia="Calibri" w:hAnsi="Verdana" w:cs="Times New Roman"/>
          <w:sz w:val="16"/>
          <w:szCs w:val="16"/>
        </w:rPr>
        <w:t>, któr</w:t>
      </w:r>
      <w:r w:rsidR="009120D0">
        <w:rPr>
          <w:rFonts w:ascii="Verdana" w:eastAsia="Calibri" w:hAnsi="Verdana" w:cs="Times New Roman"/>
          <w:sz w:val="16"/>
          <w:szCs w:val="16"/>
        </w:rPr>
        <w:t>ej</w:t>
      </w:r>
      <w:r w:rsidR="009120D0" w:rsidRPr="009120D0">
        <w:t xml:space="preserve"> </w:t>
      </w:r>
      <w:r w:rsidR="009120D0" w:rsidRPr="009120D0">
        <w:rPr>
          <w:rFonts w:ascii="Verdana" w:eastAsia="Calibri" w:hAnsi="Verdana" w:cs="Times New Roman"/>
          <w:sz w:val="16"/>
          <w:szCs w:val="16"/>
        </w:rPr>
        <w:t>przepisy znacząco ograniczyły możliwość stosowania ceny jako jedynego kryterium oceny ofert, kładąc większy nacisk na kryteria jakościowe, społeczne i środowiskowe.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</w:t>
      </w:r>
      <w:r w:rsidR="009120D0">
        <w:rPr>
          <w:rFonts w:ascii="Verdana" w:eastAsia="Calibri" w:hAnsi="Verdana" w:cs="Times New Roman"/>
          <w:sz w:val="16"/>
          <w:szCs w:val="16"/>
        </w:rPr>
        <w:t>W myśl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art. </w:t>
      </w:r>
      <w:r w:rsidR="00296E4D">
        <w:rPr>
          <w:rFonts w:ascii="Verdana" w:eastAsia="Calibri" w:hAnsi="Verdana" w:cs="Times New Roman"/>
          <w:sz w:val="16"/>
          <w:szCs w:val="16"/>
        </w:rPr>
        <w:t>242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 ust. </w:t>
      </w:r>
      <w:r w:rsidR="00296E4D">
        <w:rPr>
          <w:rFonts w:ascii="Verdana" w:eastAsia="Calibri" w:hAnsi="Verdana" w:cs="Times New Roman"/>
          <w:sz w:val="16"/>
          <w:szCs w:val="16"/>
        </w:rPr>
        <w:t xml:space="preserve">1 i 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2 </w:t>
      </w:r>
      <w:r w:rsidR="009120D0">
        <w:rPr>
          <w:rFonts w:ascii="Verdana" w:eastAsia="Calibri" w:hAnsi="Verdana" w:cs="Times New Roman"/>
          <w:sz w:val="16"/>
          <w:szCs w:val="16"/>
        </w:rPr>
        <w:t>Pzp</w:t>
      </w:r>
      <w:r w:rsidR="00296E4D">
        <w:rPr>
          <w:rFonts w:ascii="Verdana" w:eastAsia="Calibri" w:hAnsi="Verdana" w:cs="Times New Roman"/>
          <w:sz w:val="16"/>
          <w:szCs w:val="16"/>
        </w:rPr>
        <w:t xml:space="preserve"> i w związku z art. 246 ust.1 i 2 Pzp</w:t>
      </w:r>
      <w:r w:rsidR="009120D0">
        <w:rPr>
          <w:rFonts w:ascii="Verdana" w:eastAsia="Calibri" w:hAnsi="Verdana" w:cs="Times New Roman"/>
          <w:sz w:val="16"/>
          <w:szCs w:val="16"/>
        </w:rPr>
        <w:t xml:space="preserve"> </w:t>
      </w:r>
      <w:r w:rsidRPr="005468F2">
        <w:rPr>
          <w:rFonts w:ascii="Verdana" w:eastAsia="Calibri" w:hAnsi="Verdana" w:cs="Times New Roman"/>
          <w:sz w:val="16"/>
          <w:szCs w:val="16"/>
        </w:rPr>
        <w:t xml:space="preserve">wyraźnie sprowadziła wagę kryterium ceny do </w:t>
      </w:r>
      <w:r w:rsidRPr="005468F2">
        <w:rPr>
          <w:rFonts w:ascii="Verdana" w:eastAsia="Calibri" w:hAnsi="Verdana" w:cs="Arial"/>
          <w:bCs/>
          <w:sz w:val="16"/>
          <w:szCs w:val="16"/>
        </w:rPr>
        <w:t>maksymalnie 60% przy odpowiednich założeniach. Stąd zastosowanie w ten sposób kryteriów oceny ofert jest prawidłowe.</w:t>
      </w:r>
      <w:r w:rsidR="009120D0" w:rsidRPr="009120D0">
        <w:t xml:space="preserve"> </w:t>
      </w:r>
      <w:r w:rsidR="00296E4D" w:rsidRPr="00296E4D">
        <w:rPr>
          <w:rFonts w:ascii="Verdana" w:hAnsi="Verdana"/>
          <w:sz w:val="16"/>
          <w:szCs w:val="16"/>
        </w:rPr>
        <w:t>Zamawiający przypomina</w:t>
      </w:r>
      <w:r w:rsidR="00296E4D">
        <w:rPr>
          <w:rFonts w:ascii="Verdana" w:hAnsi="Verdana"/>
          <w:sz w:val="16"/>
          <w:szCs w:val="16"/>
        </w:rPr>
        <w:t xml:space="preserve">, iż nie może przychylać </w:t>
      </w:r>
      <w:r w:rsidR="007D6FC0">
        <w:rPr>
          <w:rFonts w:ascii="Verdana" w:hAnsi="Verdana"/>
          <w:sz w:val="16"/>
          <w:szCs w:val="16"/>
        </w:rPr>
        <w:t xml:space="preserve">się </w:t>
      </w:r>
      <w:r w:rsidR="00296E4D">
        <w:rPr>
          <w:rFonts w:ascii="Verdana" w:hAnsi="Verdana"/>
          <w:sz w:val="16"/>
          <w:szCs w:val="16"/>
        </w:rPr>
        <w:t xml:space="preserve">do wniosków proponowanych przez Wykonawcę, tylko dlatego, że temu nie odpowiadają warunki stawiane przez Zamawiającego. Zamawiający traktuje każdego Wykonawcę tak samo, mając na względzie </w:t>
      </w:r>
      <w:r w:rsidR="00296E4D" w:rsidRPr="00296E4D">
        <w:rPr>
          <w:rFonts w:ascii="Verdana" w:hAnsi="Verdana"/>
          <w:sz w:val="16"/>
          <w:szCs w:val="16"/>
        </w:rPr>
        <w:t>zasad</w:t>
      </w:r>
      <w:r w:rsidR="00296E4D">
        <w:rPr>
          <w:rFonts w:ascii="Verdana" w:hAnsi="Verdana"/>
          <w:sz w:val="16"/>
          <w:szCs w:val="16"/>
        </w:rPr>
        <w:t>y</w:t>
      </w:r>
      <w:r w:rsidR="00296E4D" w:rsidRPr="00296E4D">
        <w:rPr>
          <w:rFonts w:ascii="Verdana" w:hAnsi="Verdana"/>
          <w:sz w:val="16"/>
          <w:szCs w:val="16"/>
        </w:rPr>
        <w:t xml:space="preserve"> przejrzystości, proporcjonalności, uczciwej konkurencji oraz równego traktowania </w:t>
      </w:r>
      <w:r w:rsidR="00296E4D">
        <w:rPr>
          <w:rFonts w:ascii="Verdana" w:hAnsi="Verdana"/>
          <w:sz w:val="16"/>
          <w:szCs w:val="16"/>
        </w:rPr>
        <w:t>W</w:t>
      </w:r>
      <w:r w:rsidR="00296E4D" w:rsidRPr="00296E4D">
        <w:rPr>
          <w:rFonts w:ascii="Verdana" w:hAnsi="Verdana"/>
          <w:sz w:val="16"/>
          <w:szCs w:val="16"/>
        </w:rPr>
        <w:t>ykonawców, określonych w art. 16 pkt 1–3 Pzp.</w:t>
      </w:r>
    </w:p>
    <w:p w14:paraId="007DFB2C" w14:textId="5D6D8F86" w:rsidR="005468F2" w:rsidRDefault="005468F2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  <w:bCs/>
          <w:color w:val="000000"/>
          <w:sz w:val="16"/>
          <w:szCs w:val="16"/>
        </w:rPr>
      </w:pPr>
      <w:r w:rsidRPr="005468F2">
        <w:rPr>
          <w:rFonts w:ascii="Verdana" w:eastAsia="Calibri" w:hAnsi="Verdana" w:cs="Arial"/>
          <w:bCs/>
          <w:color w:val="000000"/>
          <w:sz w:val="16"/>
          <w:szCs w:val="16"/>
        </w:rPr>
        <w:t xml:space="preserve">Zamawiający </w:t>
      </w:r>
      <w:r w:rsidR="00296E4D">
        <w:rPr>
          <w:rFonts w:ascii="Verdana" w:eastAsia="Calibri" w:hAnsi="Verdana" w:cs="Arial"/>
          <w:bCs/>
          <w:color w:val="000000"/>
          <w:sz w:val="16"/>
          <w:szCs w:val="16"/>
        </w:rPr>
        <w:t xml:space="preserve">śpieszy </w:t>
      </w:r>
      <w:r w:rsidRPr="005468F2">
        <w:rPr>
          <w:rFonts w:ascii="Verdana" w:eastAsia="Calibri" w:hAnsi="Verdana" w:cs="Arial"/>
          <w:bCs/>
          <w:color w:val="000000"/>
          <w:sz w:val="16"/>
          <w:szCs w:val="16"/>
        </w:rPr>
        <w:t>wyjaśni</w:t>
      </w:r>
      <w:r w:rsidR="00296E4D">
        <w:rPr>
          <w:rFonts w:ascii="Verdana" w:eastAsia="Calibri" w:hAnsi="Verdana" w:cs="Arial"/>
          <w:bCs/>
          <w:color w:val="000000"/>
          <w:sz w:val="16"/>
          <w:szCs w:val="16"/>
        </w:rPr>
        <w:t>ć</w:t>
      </w:r>
      <w:r w:rsidRPr="005468F2">
        <w:rPr>
          <w:rFonts w:ascii="Verdana" w:eastAsia="Calibri" w:hAnsi="Verdana" w:cs="Arial"/>
          <w:bCs/>
          <w:color w:val="000000"/>
          <w:sz w:val="16"/>
          <w:szCs w:val="16"/>
        </w:rPr>
        <w:t xml:space="preserve">, iż odległość będzie sprawdzana z </w:t>
      </w:r>
      <w:r w:rsidRPr="005468F2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wygenerowanego ogólnodostępnego serwisu Google Maps i jeśli </w:t>
      </w:r>
      <w:r w:rsidRPr="005468F2">
        <w:rPr>
          <w:rFonts w:ascii="Verdana" w:eastAsia="Calibri" w:hAnsi="Verdana" w:cs="Times New Roman"/>
          <w:color w:val="000000"/>
          <w:sz w:val="16"/>
          <w:szCs w:val="16"/>
        </w:rPr>
        <w:t xml:space="preserve">miejsce produkcji posiłków, od siedziby Zamawiającego znajdzie się w odległości do 10 km zostaną przyznane punkty wg wzoru. </w:t>
      </w:r>
      <w:r w:rsidRPr="005468F2">
        <w:rPr>
          <w:rFonts w:ascii="Verdana" w:eastAsia="Calibri" w:hAnsi="Verdana" w:cs="Times New Roman"/>
          <w:bCs/>
          <w:color w:val="000000"/>
          <w:sz w:val="16"/>
          <w:szCs w:val="16"/>
        </w:rPr>
        <w:t>Zamawiający podkreśla jednocześnie, iż to Wykonawca określa w oświadczeniu przedmiotową odległość kilometrów a Zamawiający to jedynie weryfikuje</w:t>
      </w:r>
      <w:r w:rsidR="006C0607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 i nie ma podstaw do tego aby wątpić w uczciwość Wykonawcy</w:t>
      </w:r>
      <w:r w:rsidRPr="005468F2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 (odpowiedź nr 5 z dnia 09.09.2026 r.)</w:t>
      </w:r>
      <w:r w:rsidRPr="005468F2">
        <w:rPr>
          <w:rFonts w:ascii="Verdana" w:eastAsia="Calibri" w:hAnsi="Verdana" w:cs="Times New Roman"/>
          <w:b/>
          <w:color w:val="000000"/>
          <w:sz w:val="16"/>
          <w:szCs w:val="16"/>
        </w:rPr>
        <w:t xml:space="preserve">. </w:t>
      </w:r>
      <w:r w:rsidR="006C0607">
        <w:rPr>
          <w:rFonts w:ascii="Verdana" w:eastAsia="Calibri" w:hAnsi="Verdana" w:cs="Times New Roman"/>
          <w:color w:val="000000"/>
          <w:sz w:val="16"/>
          <w:szCs w:val="16"/>
        </w:rPr>
        <w:t>Zamawiający po raz kolejny nie rozumie jak</w:t>
      </w:r>
      <w:r w:rsidRPr="005468F2">
        <w:rPr>
          <w:rFonts w:ascii="Verdana" w:eastAsia="Calibri" w:hAnsi="Verdana" w:cs="Times New Roman"/>
          <w:color w:val="000000"/>
          <w:sz w:val="16"/>
          <w:szCs w:val="16"/>
        </w:rPr>
        <w:t xml:space="preserve"> Wykonawca może sugerować brak obiektywnej metody pomiaru odległości skoro zastosowanie </w:t>
      </w:r>
      <w:r w:rsidRPr="005468F2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ogólnodostępnego serwisu Google Maps jest dla wszystkich Wykonawców jednakowe. </w:t>
      </w:r>
    </w:p>
    <w:p w14:paraId="48D273AD" w14:textId="53626967" w:rsidR="006C0607" w:rsidRPr="005468F2" w:rsidRDefault="006C0607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mbria"/>
          <w:color w:val="000000"/>
          <w:sz w:val="16"/>
          <w:szCs w:val="16"/>
        </w:rPr>
      </w:pPr>
      <w:r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Zamawiający nie zamierza poddać się presji wywieranej przez Wykonawcę, wszystkich traktuje bezwzględnie tak samo. Wykonawca pisze, iż Zamawiający przyznając punkty za odległość nie określa punktu początkowego  i końcowego pomiaru. Co Wykonawca ma na myśli? </w:t>
      </w:r>
      <w:r w:rsidR="002A4E03">
        <w:rPr>
          <w:rFonts w:ascii="Verdana" w:eastAsia="Calibri" w:hAnsi="Verdana" w:cs="Times New Roman"/>
          <w:bCs/>
          <w:color w:val="000000"/>
          <w:sz w:val="16"/>
          <w:szCs w:val="16"/>
        </w:rPr>
        <w:t>S</w:t>
      </w:r>
      <w:r>
        <w:rPr>
          <w:rFonts w:ascii="Verdana" w:eastAsia="Calibri" w:hAnsi="Verdana" w:cs="Times New Roman"/>
          <w:bCs/>
          <w:color w:val="000000"/>
          <w:sz w:val="16"/>
          <w:szCs w:val="16"/>
        </w:rPr>
        <w:t>ystem Google Maps jest wg Wykonawcy niewiarygodny</w:t>
      </w:r>
      <w:r w:rsidR="002A4E03">
        <w:rPr>
          <w:rFonts w:ascii="Verdana" w:eastAsia="Calibri" w:hAnsi="Verdana" w:cs="Times New Roman"/>
          <w:bCs/>
          <w:color w:val="000000"/>
          <w:sz w:val="16"/>
          <w:szCs w:val="16"/>
        </w:rPr>
        <w:t>. Zamawiający nie ma możliwości zastosowania systemu dronowego ani krokowego.  Zamawiający zakłada, iż punktem początkowym</w:t>
      </w:r>
      <w:r w:rsidR="007D6FC0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 </w:t>
      </w:r>
      <w:r w:rsidR="002A4E03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pomiaru będzie szlaban wjazdowy na teren Zamawiającego </w:t>
      </w:r>
      <w:r w:rsidR="00A02660">
        <w:rPr>
          <w:rFonts w:ascii="Verdana" w:eastAsia="Calibri" w:hAnsi="Verdana" w:cs="Times New Roman"/>
          <w:bCs/>
          <w:color w:val="000000"/>
          <w:sz w:val="16"/>
          <w:szCs w:val="16"/>
        </w:rPr>
        <w:t xml:space="preserve">a końcowy to drzwi Wykonawcy, za którymi odbywać się będzie produkcja posiłków dla pacjentów Zamawiającego. </w:t>
      </w:r>
    </w:p>
    <w:p w14:paraId="163D2D42" w14:textId="77777777" w:rsidR="00A02660" w:rsidRDefault="00A02660" w:rsidP="005468F2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</w:p>
    <w:p w14:paraId="57EEC73A" w14:textId="5C037FF0" w:rsidR="00A02660" w:rsidRPr="00A02660" w:rsidRDefault="00A02660" w:rsidP="00A0266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eastAsia="Calibri" w:hAnsi="Verdana" w:cs="Times New Roman"/>
          <w:b/>
          <w:bCs/>
          <w:sz w:val="16"/>
          <w:szCs w:val="16"/>
        </w:rPr>
      </w:pPr>
      <w:r w:rsidRPr="00A02660">
        <w:rPr>
          <w:rFonts w:ascii="Verdana" w:eastAsia="Calibri" w:hAnsi="Verdana" w:cs="Times New Roman"/>
          <w:b/>
          <w:bCs/>
          <w:sz w:val="16"/>
          <w:szCs w:val="16"/>
        </w:rPr>
        <w:t>Niejednoznaczny wzór dotyczący certyfikatu ISO 22000/FSSC22000</w:t>
      </w:r>
    </w:p>
    <w:p w14:paraId="7AC63828" w14:textId="340EF811" w:rsidR="005468F2" w:rsidRPr="00A02660" w:rsidRDefault="006C0607" w:rsidP="00A02660">
      <w:pPr>
        <w:spacing w:after="0" w:line="360" w:lineRule="auto"/>
        <w:jc w:val="both"/>
        <w:rPr>
          <w:rFonts w:ascii="Verdana" w:eastAsia="Calibri" w:hAnsi="Verdana" w:cs="Times New Roman"/>
          <w:sz w:val="16"/>
          <w:szCs w:val="16"/>
        </w:rPr>
      </w:pPr>
      <w:r w:rsidRPr="00A02660">
        <w:rPr>
          <w:rFonts w:ascii="Verdana" w:eastAsia="Calibri" w:hAnsi="Verdana" w:cs="Times New Roman"/>
          <w:sz w:val="16"/>
          <w:szCs w:val="16"/>
        </w:rPr>
        <w:t>Zamawiający</w:t>
      </w:r>
      <w:r w:rsidR="00A02660">
        <w:rPr>
          <w:rFonts w:ascii="Verdana" w:eastAsia="Calibri" w:hAnsi="Verdana" w:cs="Times New Roman"/>
          <w:sz w:val="16"/>
          <w:szCs w:val="16"/>
        </w:rPr>
        <w:t xml:space="preserve"> w SWZ</w:t>
      </w:r>
      <w:r w:rsidRPr="00A02660">
        <w:rPr>
          <w:rFonts w:ascii="Verdana" w:eastAsia="Calibri" w:hAnsi="Verdana" w:cs="Times New Roman"/>
          <w:sz w:val="16"/>
          <w:szCs w:val="16"/>
        </w:rPr>
        <w:t xml:space="preserve"> dodał wzory na podstawie których dokona oceny ofert przyznając im odpowiednia ilość punktów za spełnienie kryteriów</w:t>
      </w:r>
      <w:r w:rsidR="00A02660" w:rsidRPr="00A02660">
        <w:rPr>
          <w:rFonts w:ascii="Verdana" w:eastAsia="Calibri" w:hAnsi="Verdana" w:cs="Times New Roman"/>
          <w:sz w:val="16"/>
          <w:szCs w:val="16"/>
        </w:rPr>
        <w:t xml:space="preserve">. Zamawiający zakłada, że </w:t>
      </w:r>
      <w:r w:rsidR="005468F2" w:rsidRPr="00A02660">
        <w:rPr>
          <w:rFonts w:ascii="Verdana" w:eastAsia="Calibri" w:hAnsi="Verdana" w:cs="Times New Roman"/>
          <w:sz w:val="16"/>
          <w:szCs w:val="16"/>
        </w:rPr>
        <w:t xml:space="preserve">jeśli Wykonawca nie ma zastrzeżeń (tj. rozumie zapis) do pkt. XVI, ppkt. 1a, </w:t>
      </w:r>
      <w:r w:rsidR="00A02660" w:rsidRPr="00A02660">
        <w:rPr>
          <w:rFonts w:ascii="Verdana" w:eastAsia="Calibri" w:hAnsi="Verdana" w:cs="Times New Roman"/>
          <w:sz w:val="16"/>
          <w:szCs w:val="16"/>
        </w:rPr>
        <w:t>to powinien</w:t>
      </w:r>
      <w:r w:rsidR="005468F2" w:rsidRPr="00A02660">
        <w:rPr>
          <w:rFonts w:ascii="Verdana" w:eastAsia="Calibri" w:hAnsi="Verdana" w:cs="Times New Roman"/>
          <w:sz w:val="16"/>
          <w:szCs w:val="16"/>
        </w:rPr>
        <w:t xml:space="preserve"> rozumie</w:t>
      </w:r>
      <w:r w:rsidR="00A02660" w:rsidRPr="00A02660">
        <w:rPr>
          <w:rFonts w:ascii="Verdana" w:eastAsia="Calibri" w:hAnsi="Verdana" w:cs="Times New Roman"/>
          <w:sz w:val="16"/>
          <w:szCs w:val="16"/>
        </w:rPr>
        <w:t>ć</w:t>
      </w:r>
      <w:r w:rsidR="005468F2" w:rsidRPr="00A02660">
        <w:rPr>
          <w:rFonts w:ascii="Verdana" w:eastAsia="Calibri" w:hAnsi="Verdana" w:cs="Times New Roman"/>
          <w:sz w:val="16"/>
          <w:szCs w:val="16"/>
        </w:rPr>
        <w:t xml:space="preserve"> również pkt. XVI, ppkt. 1b-c. </w:t>
      </w:r>
    </w:p>
    <w:p w14:paraId="4425656E" w14:textId="5E594831" w:rsidR="005468F2" w:rsidRPr="005468F2" w:rsidRDefault="005468F2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Cambria"/>
          <w:color w:val="000000"/>
          <w:sz w:val="16"/>
          <w:szCs w:val="16"/>
        </w:rPr>
      </w:pPr>
      <w:r w:rsidRPr="005468F2">
        <w:rPr>
          <w:rFonts w:ascii="Verdana" w:eastAsia="Calibri" w:hAnsi="Verdana" w:cs="Times New Roman"/>
          <w:color w:val="000000"/>
          <w:sz w:val="16"/>
          <w:szCs w:val="16"/>
        </w:rPr>
        <w:t xml:space="preserve">Zamawiający wyjaśnia jakie są </w:t>
      </w:r>
      <w:r w:rsidRPr="005468F2">
        <w:rPr>
          <w:rFonts w:ascii="Verdana" w:eastAsia="Calibri" w:hAnsi="Verdana" w:cs="Cambria"/>
          <w:color w:val="000000"/>
          <w:sz w:val="16"/>
          <w:szCs w:val="16"/>
        </w:rPr>
        <w:t>mierzalne korzyści jakościowe wynikające z posiadania certyfikatu ISO 22000 albo FSSC 22000:</w:t>
      </w:r>
    </w:p>
    <w:p w14:paraId="69B0F557" w14:textId="27059A1F" w:rsidR="005468F2" w:rsidRPr="005468F2" w:rsidRDefault="00A02660" w:rsidP="005468F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eastAsia="Calibri" w:hAnsi="Verdana" w:cs="Poppins-Regular"/>
          <w:sz w:val="16"/>
          <w:szCs w:val="16"/>
          <w:lang w:val="x-none" w:eastAsia="pl-PL"/>
        </w:rPr>
      </w:pPr>
      <w:r>
        <w:rPr>
          <w:rFonts w:ascii="Verdana" w:eastAsia="Calibri" w:hAnsi="Verdana" w:cs="Verdana"/>
          <w:sz w:val="16"/>
          <w:szCs w:val="16"/>
          <w:lang w:val="x-none" w:eastAsia="zh-CN"/>
        </w:rPr>
        <w:t>p</w:t>
      </w:r>
      <w:r w:rsidR="005468F2" w:rsidRPr="005468F2">
        <w:rPr>
          <w:rFonts w:ascii="Verdana" w:eastAsia="Calibri" w:hAnsi="Verdana" w:cs="Verdana"/>
          <w:sz w:val="16"/>
          <w:szCs w:val="16"/>
          <w:lang w:val="x-none" w:eastAsia="zh-CN"/>
        </w:rPr>
        <w:t>ełna identyfikowalność: System ISO 22000 wymaga śledzenia każdego składnika „od pola do stołu”. W przypadku alertu dotyczącego skażonej partii np. warzyw, certyfikowany Wykonawca  jest w stanie w ciągu kilkunastu minut precyzyjnie zidentyfikować, do których posiłków trafiła dana partia, którzy pacjenci je otrzymali i natychmiast podjąć działania korygujące. System oparty jedynie o podstawowe wymogi prawne może nie zapewniać tak szybkiej i precyzyjnej reakcji</w:t>
      </w:r>
    </w:p>
    <w:p w14:paraId="44C0F647" w14:textId="34AE6C02" w:rsidR="005468F2" w:rsidRPr="005468F2" w:rsidRDefault="00A02660" w:rsidP="005468F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eastAsia="Calibri" w:hAnsi="Verdana" w:cs="Poppins-Regular"/>
          <w:sz w:val="16"/>
          <w:szCs w:val="16"/>
          <w:lang w:val="x-none" w:eastAsia="pl-PL"/>
        </w:rPr>
      </w:pPr>
      <w:r>
        <w:rPr>
          <w:rFonts w:ascii="Verdana" w:eastAsia="Calibri" w:hAnsi="Verdana" w:cs="Verdana"/>
          <w:sz w:val="16"/>
          <w:szCs w:val="16"/>
          <w:lang w:val="x-none" w:eastAsia="zh-CN"/>
        </w:rPr>
        <w:t>z</w:t>
      </w:r>
      <w:r w:rsidR="005468F2" w:rsidRPr="005468F2">
        <w:rPr>
          <w:rFonts w:ascii="Verdana" w:eastAsia="Calibri" w:hAnsi="Verdana" w:cs="Verdana"/>
          <w:sz w:val="16"/>
          <w:szCs w:val="16"/>
          <w:lang w:val="x-none" w:eastAsia="zh-CN"/>
        </w:rPr>
        <w:t>arządzanie ryzykiem i programy warunków wstępnych: Norma wymusza systematyczną analizę i zarządzanie ryzykiem na każdym etapie procesu – od przyjęcia surowca, przez magazynowanie, obróbkę termiczną, aż po transport i wydanie posiłku na oddział. Obejmuje to m.in. zaawansowane procedury czyszczenia i dezynfekcji, zapobiegania skażeniom krzyżowym czy monitorowania stanu technicznego urządzeń, które wykraczają poza standardowe zapisy GHP/GMP.</w:t>
      </w:r>
    </w:p>
    <w:p w14:paraId="39B4DC4F" w14:textId="1698A4BE" w:rsidR="005468F2" w:rsidRPr="005468F2" w:rsidRDefault="00A02660" w:rsidP="005468F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eastAsia="Calibri" w:hAnsi="Verdana" w:cs="Poppins-Regular"/>
          <w:sz w:val="16"/>
          <w:szCs w:val="16"/>
          <w:lang w:val="x-none" w:eastAsia="pl-PL"/>
        </w:rPr>
      </w:pPr>
      <w:r>
        <w:rPr>
          <w:rFonts w:ascii="Verdana" w:eastAsia="Calibri" w:hAnsi="Verdana" w:cs="Verdana"/>
          <w:sz w:val="16"/>
          <w:szCs w:val="16"/>
          <w:lang w:val="x-none" w:eastAsia="zh-CN"/>
        </w:rPr>
        <w:t>c</w:t>
      </w:r>
      <w:r w:rsidR="005468F2" w:rsidRPr="005468F2">
        <w:rPr>
          <w:rFonts w:ascii="Verdana" w:eastAsia="Calibri" w:hAnsi="Verdana" w:cs="Verdana"/>
          <w:sz w:val="16"/>
          <w:szCs w:val="16"/>
          <w:lang w:val="x-none" w:eastAsia="zh-CN"/>
        </w:rPr>
        <w:t>iągłe doskonalenie: W przeciwieństwie do statycznej kontroli Sanepidu, certyfikowany system wymusza na Wykonawcy ciągłe analizowanie procesów, identyfikowanie słabych punktów i wdrażanie działań doskonalących. Przykład. Po wykryciu niewielkiego odchylenia temperatury w chłodni, system ISO wymaga nie tylko korekty, ale analizy przyczyny źródłowej i wdrożenia działań zapobiegawczych (np. zmiana częstotliwości kontroli, instalacja dodatkowego alarmu).</w:t>
      </w:r>
    </w:p>
    <w:p w14:paraId="6A74865B" w14:textId="38F886E0" w:rsidR="005468F2" w:rsidRPr="005468F2" w:rsidRDefault="00A02660" w:rsidP="005468F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eastAsia="Calibri" w:hAnsi="Verdana" w:cs="Poppins-Regular"/>
          <w:sz w:val="16"/>
          <w:szCs w:val="16"/>
          <w:lang w:val="x-none" w:eastAsia="pl-PL"/>
        </w:rPr>
      </w:pPr>
      <w:r>
        <w:rPr>
          <w:rFonts w:ascii="Verdana" w:eastAsia="Calibri" w:hAnsi="Verdana" w:cs="Verdana"/>
          <w:sz w:val="16"/>
          <w:szCs w:val="16"/>
          <w:lang w:val="x-none" w:eastAsia="zh-CN"/>
        </w:rPr>
        <w:lastRenderedPageBreak/>
        <w:t>k</w:t>
      </w:r>
      <w:r w:rsidR="005468F2" w:rsidRPr="005468F2">
        <w:rPr>
          <w:rFonts w:ascii="Verdana" w:eastAsia="Calibri" w:hAnsi="Verdana" w:cs="Verdana"/>
          <w:sz w:val="16"/>
          <w:szCs w:val="16"/>
          <w:lang w:val="x-none" w:eastAsia="zh-CN"/>
        </w:rPr>
        <w:t>omunikacja: Norma precyzyjnie określa zasady komunikacji wewnętrznej i zewnętrznej w zakresie bezpieczeństwa żywności, co jest kluczowe w sytuacji kryzysowej i gwarantuje sprawny przepływ informacji między dostawcą a szpitalem.</w:t>
      </w:r>
    </w:p>
    <w:p w14:paraId="13535217" w14:textId="77777777" w:rsidR="005468F2" w:rsidRPr="005468F2" w:rsidRDefault="005468F2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Poppins-Regular"/>
          <w:sz w:val="16"/>
          <w:szCs w:val="16"/>
          <w:lang w:eastAsia="pl-PL"/>
        </w:rPr>
      </w:pPr>
    </w:p>
    <w:p w14:paraId="7E80E796" w14:textId="2FF8B634" w:rsidR="005468F2" w:rsidRPr="005468F2" w:rsidRDefault="005468F2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Poppins-Regular"/>
          <w:color w:val="000000"/>
          <w:sz w:val="16"/>
          <w:szCs w:val="16"/>
          <w:lang w:eastAsia="pl-PL"/>
        </w:rPr>
      </w:pPr>
      <w:r w:rsidRPr="005468F2">
        <w:rPr>
          <w:rFonts w:ascii="Verdana" w:eastAsia="Calibri" w:hAnsi="Verdana" w:cs="Poppins-Regular"/>
          <w:color w:val="000000"/>
          <w:sz w:val="16"/>
          <w:szCs w:val="16"/>
          <w:lang w:eastAsia="pl-PL"/>
        </w:rPr>
        <w:t xml:space="preserve">Zamawiający mając powyższe na uwadze stwierdza, iż w przedmiotowym postępowaniu </w:t>
      </w:r>
      <w:r w:rsidRPr="005468F2">
        <w:rPr>
          <w:rFonts w:ascii="Verdana" w:eastAsia="Calibri" w:hAnsi="Verdana" w:cs="Cambria"/>
          <w:color w:val="000000"/>
          <w:sz w:val="16"/>
          <w:szCs w:val="16"/>
        </w:rPr>
        <w:t>uwzględnia zasady przejrzystości, proporcjonalności, uczciwej konkurencji oraz równego traktowania wykonawców, określonych w art. 16 pkt 1–3 Pz</w:t>
      </w:r>
      <w:r w:rsidR="00A02660">
        <w:rPr>
          <w:rFonts w:ascii="Verdana" w:eastAsia="Calibri" w:hAnsi="Verdana" w:cs="Cambria"/>
          <w:color w:val="000000"/>
          <w:sz w:val="16"/>
          <w:szCs w:val="16"/>
        </w:rPr>
        <w:t xml:space="preserve">p. </w:t>
      </w:r>
      <w:r w:rsidR="007F4DF4">
        <w:rPr>
          <w:rFonts w:ascii="Verdana" w:eastAsia="Calibri" w:hAnsi="Verdana" w:cs="Poppins-Regular"/>
          <w:color w:val="000000"/>
          <w:sz w:val="16"/>
          <w:szCs w:val="16"/>
          <w:lang w:eastAsia="pl-PL"/>
        </w:rPr>
        <w:t>T</w:t>
      </w:r>
      <w:r w:rsidRPr="005468F2">
        <w:rPr>
          <w:rFonts w:ascii="Verdana" w:eastAsia="Calibri" w:hAnsi="Verdana" w:cs="Poppins-Regular"/>
          <w:color w:val="000000"/>
          <w:sz w:val="16"/>
          <w:szCs w:val="16"/>
          <w:lang w:eastAsia="pl-PL"/>
        </w:rPr>
        <w:t>ermin składania i otwarcia ofert jest wyznaczony na 14.09.2026 r.</w:t>
      </w:r>
    </w:p>
    <w:p w14:paraId="32415E47" w14:textId="77777777" w:rsidR="005468F2" w:rsidRPr="005468F2" w:rsidRDefault="005468F2" w:rsidP="005468F2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Poppins-Regular"/>
          <w:sz w:val="16"/>
          <w:szCs w:val="16"/>
          <w:lang w:eastAsia="pl-PL"/>
        </w:rPr>
      </w:pPr>
    </w:p>
    <w:p w14:paraId="10CA9C24" w14:textId="77777777" w:rsidR="005468F2" w:rsidRPr="005468F2" w:rsidRDefault="005468F2" w:rsidP="005468F2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Cambria"/>
          <w:color w:val="000000"/>
          <w:sz w:val="24"/>
          <w:szCs w:val="24"/>
        </w:rPr>
      </w:pPr>
    </w:p>
    <w:p w14:paraId="47D4DC75" w14:textId="77777777" w:rsidR="005468F2" w:rsidRPr="005468F2" w:rsidRDefault="005468F2" w:rsidP="005468F2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Cambria"/>
          <w:color w:val="000000"/>
          <w:sz w:val="24"/>
          <w:szCs w:val="24"/>
        </w:rPr>
      </w:pPr>
    </w:p>
    <w:p w14:paraId="619B9AB4" w14:textId="1D61E0BB" w:rsidR="005468F2" w:rsidRPr="007D6FC0" w:rsidRDefault="007F4DF4" w:rsidP="007D6FC0">
      <w:pPr>
        <w:tabs>
          <w:tab w:val="left" w:pos="5925"/>
        </w:tabs>
        <w:jc w:val="right"/>
        <w:rPr>
          <w:rFonts w:ascii="Verdana" w:eastAsia="Calibri" w:hAnsi="Verdana" w:cs="Times New Roman"/>
          <w:b/>
          <w:bCs/>
          <w:sz w:val="16"/>
          <w:szCs w:val="16"/>
        </w:rPr>
      </w:pPr>
      <w:r>
        <w:rPr>
          <w:rFonts w:ascii="Verdana" w:eastAsia="Calibri" w:hAnsi="Verdana" w:cs="Times New Roman"/>
          <w:sz w:val="16"/>
          <w:szCs w:val="16"/>
        </w:rPr>
        <w:tab/>
      </w:r>
      <w:r w:rsidRPr="007F4DF4">
        <w:rPr>
          <w:rFonts w:ascii="Verdana" w:eastAsia="Calibri" w:hAnsi="Verdana" w:cs="Times New Roman"/>
          <w:b/>
          <w:bCs/>
          <w:sz w:val="16"/>
          <w:szCs w:val="16"/>
        </w:rPr>
        <w:t>Edyta Brzywca Kozłowska</w:t>
      </w:r>
    </w:p>
    <w:p w14:paraId="7B544670" w14:textId="74A5F7DA" w:rsidR="007F4DF4" w:rsidRPr="007F4DF4" w:rsidRDefault="007F4DF4" w:rsidP="007F4DF4">
      <w:pPr>
        <w:spacing w:line="360" w:lineRule="auto"/>
        <w:ind w:left="708"/>
        <w:jc w:val="right"/>
        <w:rPr>
          <w:rFonts w:ascii="Verdana" w:hAnsi="Verdana"/>
          <w:b/>
          <w:bCs/>
          <w:sz w:val="16"/>
          <w:szCs w:val="16"/>
        </w:rPr>
      </w:pPr>
      <w:r w:rsidRPr="007F4DF4">
        <w:rPr>
          <w:rFonts w:ascii="Verdana" w:hAnsi="Verdana"/>
          <w:b/>
          <w:bCs/>
          <w:sz w:val="16"/>
          <w:szCs w:val="16"/>
        </w:rPr>
        <w:t>Arkadiusz Dębicki</w:t>
      </w:r>
    </w:p>
    <w:p w14:paraId="462AC25A" w14:textId="5DA969FF" w:rsidR="007F4DF4" w:rsidRPr="007F4DF4" w:rsidRDefault="007D6FC0" w:rsidP="007F4DF4">
      <w:pPr>
        <w:spacing w:line="360" w:lineRule="auto"/>
        <w:ind w:left="708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Dział</w:t>
      </w:r>
      <w:r w:rsidR="007F4DF4" w:rsidRPr="007F4DF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Z</w:t>
      </w:r>
      <w:r w:rsidR="007F4DF4" w:rsidRPr="007F4DF4">
        <w:rPr>
          <w:rFonts w:ascii="Verdana" w:hAnsi="Verdana"/>
          <w:sz w:val="16"/>
          <w:szCs w:val="16"/>
        </w:rPr>
        <w:t xml:space="preserve">amówień </w:t>
      </w:r>
      <w:r>
        <w:rPr>
          <w:rFonts w:ascii="Verdana" w:hAnsi="Verdana"/>
          <w:sz w:val="16"/>
          <w:szCs w:val="16"/>
        </w:rPr>
        <w:t>P</w:t>
      </w:r>
      <w:r w:rsidR="007F4DF4" w:rsidRPr="007F4DF4">
        <w:rPr>
          <w:rFonts w:ascii="Verdana" w:hAnsi="Verdana"/>
          <w:sz w:val="16"/>
          <w:szCs w:val="16"/>
        </w:rPr>
        <w:t>ublicznych</w:t>
      </w:r>
    </w:p>
    <w:p w14:paraId="6FF52E8D" w14:textId="716EC392" w:rsidR="007F4DF4" w:rsidRPr="00933C91" w:rsidRDefault="007F4DF4" w:rsidP="007F4DF4">
      <w:pPr>
        <w:spacing w:line="360" w:lineRule="auto"/>
        <w:ind w:left="708"/>
        <w:jc w:val="right"/>
        <w:rPr>
          <w:rFonts w:ascii="Verdana" w:hAnsi="Verdana"/>
          <w:sz w:val="16"/>
          <w:szCs w:val="16"/>
        </w:rPr>
      </w:pPr>
      <w:r w:rsidRPr="007F4DF4">
        <w:rPr>
          <w:rFonts w:ascii="Verdana" w:hAnsi="Verdana"/>
          <w:sz w:val="16"/>
          <w:szCs w:val="16"/>
        </w:rPr>
        <w:t>7 Szpitala Marynarki Wojennej w Gdańsku</w:t>
      </w:r>
    </w:p>
    <w:p w14:paraId="476098A8" w14:textId="77777777" w:rsidR="00933C91" w:rsidRPr="00933C91" w:rsidRDefault="00933C91" w:rsidP="007F4DF4">
      <w:pPr>
        <w:spacing w:line="360" w:lineRule="auto"/>
        <w:ind w:left="708"/>
        <w:jc w:val="right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</w:p>
    <w:p w14:paraId="6B6002A1" w14:textId="7CAA7126" w:rsidR="004616B8" w:rsidRPr="00933C91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sectPr w:rsidR="004616B8" w:rsidRPr="00933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6454D"/>
    <w:multiLevelType w:val="hybridMultilevel"/>
    <w:tmpl w:val="8F60D90C"/>
    <w:lvl w:ilvl="0" w:tplc="AFA0FD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946DE1"/>
    <w:multiLevelType w:val="hybridMultilevel"/>
    <w:tmpl w:val="414A08FC"/>
    <w:lvl w:ilvl="0" w:tplc="AFA0FD4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5326D1"/>
    <w:multiLevelType w:val="hybridMultilevel"/>
    <w:tmpl w:val="BA0E4E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9B73B3"/>
    <w:multiLevelType w:val="hybridMultilevel"/>
    <w:tmpl w:val="D37E26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219455">
    <w:abstractNumId w:val="2"/>
  </w:num>
  <w:num w:numId="2" w16cid:durableId="759838255">
    <w:abstractNumId w:val="0"/>
  </w:num>
  <w:num w:numId="3" w16cid:durableId="1625380210">
    <w:abstractNumId w:val="1"/>
  </w:num>
  <w:num w:numId="4" w16cid:durableId="509218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91"/>
    <w:rsid w:val="000203B6"/>
    <w:rsid w:val="000D77E5"/>
    <w:rsid w:val="00157362"/>
    <w:rsid w:val="001B4213"/>
    <w:rsid w:val="001B6B46"/>
    <w:rsid w:val="00296E4D"/>
    <w:rsid w:val="002A4E03"/>
    <w:rsid w:val="002D095C"/>
    <w:rsid w:val="00324947"/>
    <w:rsid w:val="00373CA8"/>
    <w:rsid w:val="00457A64"/>
    <w:rsid w:val="004616B8"/>
    <w:rsid w:val="0048797A"/>
    <w:rsid w:val="004935A3"/>
    <w:rsid w:val="004F176B"/>
    <w:rsid w:val="00510F81"/>
    <w:rsid w:val="00544D86"/>
    <w:rsid w:val="005468F2"/>
    <w:rsid w:val="005A7CB2"/>
    <w:rsid w:val="00676753"/>
    <w:rsid w:val="006C0607"/>
    <w:rsid w:val="007D6FC0"/>
    <w:rsid w:val="007F4DF4"/>
    <w:rsid w:val="008E5513"/>
    <w:rsid w:val="00901B0C"/>
    <w:rsid w:val="009120D0"/>
    <w:rsid w:val="00933C91"/>
    <w:rsid w:val="00A02660"/>
    <w:rsid w:val="00B56306"/>
    <w:rsid w:val="00B83119"/>
    <w:rsid w:val="00C834A1"/>
    <w:rsid w:val="00C96E26"/>
    <w:rsid w:val="00CA392A"/>
    <w:rsid w:val="00CC058B"/>
    <w:rsid w:val="00E3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C77F"/>
  <w15:chartTrackingRefBased/>
  <w15:docId w15:val="{B9E5B2D3-1500-4C8C-B42B-E1FFD15B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49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94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5630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D0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7SZMW</cp:lastModifiedBy>
  <cp:revision>4</cp:revision>
  <cp:lastPrinted>2026-08-31T10:46:00Z</cp:lastPrinted>
  <dcterms:created xsi:type="dcterms:W3CDTF">2026-09-11T09:27:00Z</dcterms:created>
  <dcterms:modified xsi:type="dcterms:W3CDTF">2026-09-11T09:36:00Z</dcterms:modified>
</cp:coreProperties>
</file>