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Verdana" w:hAnsi="Verdana"/>
          <w:b/>
          <w:b/>
          <w:bCs/>
          <w:sz w:val="16"/>
          <w:szCs w:val="16"/>
        </w:rPr>
      </w:pPr>
      <w:bookmarkStart w:id="0" w:name="_GoBack"/>
      <w:bookmarkEnd w:id="0"/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                  </w:t>
      </w:r>
    </w:p>
    <w:p>
      <w:pPr>
        <w:pStyle w:val="Normal"/>
        <w:spacing w:lineRule="auto" w:line="360"/>
        <w:jc w:val="right"/>
        <w:rPr>
          <w:rFonts w:ascii="Verdana" w:hAnsi="Verdana"/>
          <w:b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 nr 2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należy wykonać zgodnie z art. 62 ustawy Prawo budowlane z 7 lipca 1994 r. Protokoły z kontroli pięcioletniej należy sporządzić odrębnie dla każdego budynku w dwóch egzemplarzach w formie papierowej i w formie elektronicznej. </w:t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Wykonawca sporządzi: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a) Protokoły dla każdego z 23 budynków zgodnie ze wzorem podanym poniżej (z załączonymi protokołami pomiarów) – wzór Protokołu - </w:t>
      </w:r>
      <w:r>
        <w:rPr>
          <w:rFonts w:ascii="Verdana" w:hAnsi="Verdana"/>
          <w:b/>
          <w:sz w:val="16"/>
          <w:szCs w:val="16"/>
        </w:rPr>
        <w:t xml:space="preserve">załącznik Nr 4 </w:t>
      </w:r>
      <w:r>
        <w:rPr>
          <w:rFonts w:ascii="Verdana" w:hAnsi="Verdana"/>
          <w:b/>
          <w:bCs/>
          <w:sz w:val="16"/>
          <w:szCs w:val="16"/>
        </w:rPr>
        <w:t>do Zapytania Ofertowego</w:t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z pominięciem budynku nr.18 przeznaczonym do przebudowy.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b) Protokoły dla każdej budowli wymienionej poniżej w Dziale I. w punktach od 15 do 19.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Szpital posiada 23 budynki na ul. Polanki 117, Gdańsk – Wykaz budynków</w:t>
      </w:r>
      <w:r>
        <w:rPr>
          <w:rFonts w:ascii="Verdana" w:hAnsi="Verdana"/>
          <w:b/>
          <w:sz w:val="16"/>
          <w:szCs w:val="16"/>
        </w:rPr>
        <w:t xml:space="preserve"> – załącznik Nr 5.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Szpital nie posiada instalacji gazu ziemnego oraz instalacji spalinowych.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Verdana" w:hAnsi="Verdana"/>
          <w:b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Pięcioletni przegląd budowlany stanu technicznego budynku/budowli i jego otoczenia obejmuje: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konstrukcji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obudowy zewnętrznej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urządzeń i instalacji zamocowanych do ścian i dachu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pokrycia dachowego i elementów odwodnienia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instalacji i urządzeń służących ochronie środowisku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urządzeń wymiennikowni, sieci i instalacji cieplnych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instalacji wodociągowej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przewodów kominowych (wentylacyjnych)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przyłączy instalacyjnych przez ściany budynku;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ind w:left="1100" w:hanging="7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badanie instalacji elektrycznej w zakresie stanu sprawności połączeń, zabezpieczeń i środków ochrony od porażenia (pomiary instalacji elektrycznej i odgromowej);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ocena estetyki obiektu i jego otoczenia;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określenie procentu zużycia budynku metodą procentową – osobny Protokół;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centralnego ogrzewania - wodna;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wodociągowej;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centralnego ogrzewania;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stanu technicznego i pomiarów ochronnych linii kablowej zasilającej;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68" w:leader="none"/>
        </w:tabs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stanu technicznego i pomiarów ochronnych obwodnicy oświetleniowej.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</w:t>
      </w:r>
      <w:r>
        <w:rPr>
          <w:rFonts w:ascii="Verdana" w:hAnsi="Verdana"/>
          <w:b/>
          <w:sz w:val="16"/>
          <w:szCs w:val="16"/>
        </w:rPr>
        <w:t xml:space="preserve">Przedmiot obejmuje w szczególności: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tynków lub płyt elewacyjnych, gzymsów, attyk itp.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prawidłowości mocowania wszystkich elementów zamocowanych do ścian np. anteny, lampy oświetleniowe oraz ich stanu,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rynien i rur spustowych z dokładnym określeniem stopnia zużycia,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obróbek blacharskich z dokładnym określeniem stopnia zużycia,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konstrukcji dachu: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drewnianej: uszkodzenia mechaniczne, zawilgocenia, zagrzybienia, </w:t>
      </w:r>
    </w:p>
    <w:p>
      <w:pPr>
        <w:pStyle w:val="ListParagraph"/>
        <w:numPr>
          <w:ilvl w:val="0"/>
          <w:numId w:val="4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stalowej: stan powłok malarskich, występowanie korozji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pokrycia dachu, z oceną stopnia zniszczenia lub ewentualną kwalifikacją do wymiany,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kominów na powierzchni dachu (ubytki i uszkodzenia czapek kominowych, spękania kominów, brak wypełnień spoin, ubytki tynku).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ścian nośnych i działowych (występowanie pęknięć, ubytków, wykruszeń spoin w ścianach z cegły, zawilgoceń, zagrzybień, ubytków tynku),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stropów (występowanie zarysowań, pęknięć, nadmiernych ugięć, ubytków tynku, występowanie innych zagrożeń grożących uszkodzeniem bądź awarią konstrukcji nośnej),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technicznego klatki schodowej to znaczy: biegów, spoczników, balustrad oraz ścian klatki schodowej,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pomieszczeń piwnicy: ścian, posadzki, stropów (występowanie pęknięć, ubytków muru, zawilgoceń, zagrzybień, odwodnień, ugięć stropu, stanu drzwi, do piwnic lokatorskich),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podłóg i posadzek z podaniem typu materiału nawierzchniowego, rodzajem ewentualnych uszkodzeń (np. wytarta podłoga PCV),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stolarki okiennej i drzwiowej na klatce schodowej, strychu i piwnicach z wyszczególnieniem stolarki wypaczonej, dawno nie konserwowanej, lub podaniem innych uszkodzeń,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wodnej (występowanie korozji, nieszczelności),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c.o. i c.w.u. (występowanie nieszczelności, korozji, braku izolacji rur w piwnicach oraz stan grzejników),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kanalizacyjnej wraz z rurami zbiorczymi w piwnicach (występowanie nieszczelności na rurach i złączach oraz poprawność przejść przez ściany budynku w tulejach i bez,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budynku pod kątem zabezpieczeń p. pożarowych (wyposażenie budynku w gaśnice, hydranty oraz ich lokalizacja),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technicznego lokali użytkowych znajdujących się w budynku,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estetyki budynku i jego otoczenia, </w:t>
      </w:r>
    </w:p>
    <w:p>
      <w:pPr>
        <w:pStyle w:val="ListParagraph"/>
        <w:numPr>
          <w:ilvl w:val="0"/>
          <w:numId w:val="3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stan techniczny zabezpieczenia budowli i małej architektury (drogi i chodniki, studzienki, oświetlenie, ogrodzenie itp.).</w:t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Pięcioletni przegląd instalacji elektrycznej i piorunochronnej w zakresie stanu sprawności połączeń, osprzętu, zabezpieczeń i środków ochrony od porażeń, oporności izolacji przewodów oraz uziemień instalacji i aparatów 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b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</w:t>
      </w:r>
      <w:r>
        <w:rPr>
          <w:rFonts w:ascii="Verdana" w:hAnsi="Verdana"/>
          <w:b/>
          <w:bCs/>
          <w:sz w:val="16"/>
          <w:szCs w:val="16"/>
        </w:rPr>
        <w:t xml:space="preserve">Przedmiot obejmuje w szczególności: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Opis instalacji budynku w tym typ układu zasilania, lokalizacja wyłącznika głównego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Wykonanie schematów jednokreskowych instalacji elektrycznej budynku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Przeprowadzenie kontroli stanu technicznego i pomiarów instalacji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elektrycznej oświetlenia administracyjnego (klatka schodowa, strych, piwnice, pomieszczenia WC poza lokalem),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elektrycznej wewnętrznej linii zasilającej (wlz) w klatce schodowej,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instalacji elektrycznej w pomieszczeniach szpitalnych i użytkowych, tablic elektrycznych w pomieszczeniach, sprawdzenie stanu technicznego wkładek topikowych lub wyłączników nadmiarowo-prądowych i wyłączników różnicoprądowych </w:t>
      </w:r>
    </w:p>
    <w:p>
      <w:pPr>
        <w:pStyle w:val="ListParagraph"/>
        <w:numPr>
          <w:ilvl w:val="0"/>
          <w:numId w:val="6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piorunochronnej obiektu (budynku) zgodnie z wymogami normy PN-ICE 61024-1 ochrona odgromowa obiektów.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Przeprowadzenie pomiarów instalacji elektrycznej i piorunochronnej w poniższym zakresie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pomiary rezystencji izolacji, kabli i przewodów.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pomiary skuteczności ochrony przeciwporażeniowej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badanie ciągłości przewodów ochronnych,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badania przed dotykiem pośrednim, próby działania urządzeń (wyłączników) różnicowoprądowych, </w:t>
      </w:r>
    </w:p>
    <w:p>
      <w:pPr>
        <w:pStyle w:val="ListParagraph"/>
        <w:numPr>
          <w:ilvl w:val="0"/>
          <w:numId w:val="7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 rezystencji uziomów instalacji piorunochronnej,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technicznego instalacji elektrycznej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rozdzielni elektrycznych w budynkach,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prawidłowości podłączeń instalacji niskoprądowych, </w:t>
      </w:r>
    </w:p>
    <w:p>
      <w:pPr>
        <w:pStyle w:val="ListParagraph"/>
        <w:numPr>
          <w:ilvl w:val="0"/>
          <w:numId w:val="8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oględziny instalacji elektrycznej w częściach wspólnych budynku i w lokalach w zakresie ochrony przed dotykiem bezpośrednimi ochrony przeciwporażeniowej </w:t>
      </w:r>
    </w:p>
    <w:p>
      <w:pPr>
        <w:pStyle w:val="ListParagraph"/>
        <w:numPr>
          <w:ilvl w:val="0"/>
          <w:numId w:val="5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Sprawdzenie gniazdek, wyłączników przycisków, puszek rozgałęźnych, rozdzielnic i tablic licznikowych i uziemienia głównego zabezpieczeń głównych opraw oświetleniowych w części wspólnych budynku.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b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W zakres pomiarów elektrycznych wchodzi: 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 pomiar izolacji obwodów – ok. 2000 punktów (+- 10%),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 oględziny i próby izolacji urządzenia rozdzielczego – ok. 150 punktów (+- 10%),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 pomiar rezystancji uziemienia – ok. 71 punktów.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 pomiar sieci oświetleniowej – 66 słupów. Długość sieci ok. 1 800 metrów.</w:t>
      </w:r>
    </w:p>
    <w:p>
      <w:pPr>
        <w:pStyle w:val="ListParagraph"/>
        <w:spacing w:lineRule="auto" w:line="360"/>
        <w:ind w:left="360" w:hanging="0"/>
        <w:jc w:val="both"/>
        <w:rPr>
          <w:rFonts w:ascii="Verdana" w:hAnsi="Verdana"/>
          <w:b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e) pomiar instalacji przewodów zewnętrznych – ok. 28 obwodów.</w:t>
      </w:r>
    </w:p>
    <w:p>
      <w:pPr>
        <w:pStyle w:val="ListParagraph"/>
        <w:spacing w:lineRule="auto" w:line="360"/>
        <w:jc w:val="both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Verdana" w:hAnsi="Verdana"/>
          <w:b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Kwalifikacje osób przeprowadzających przegląd budynków/budowli: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Osoby przeprowadzające kontrolę muszą posiadać uprawnienia budowlane w odpowiedniej specjalności. 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Kontrolą stanu technicznego instalacji elektrycznych, piorunochronnych, mogą przeprowadzać osoby posiadające kwalifikacje wymagane przy wykonywaniu dozoru nad eksploatacją urządzeń, instalacji oraz sieci energetycznych.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Kontrolę stanu technicznego przewodów kominowych mogą przeprowadzić osoby posiadające kwalifikacje mistrza w rzemiośle kominiarskim – w odniesieniu do przewodów dymowych oraz grawitacyjnych przewodów spalinowych i wentylacyjnych lub osoby posiadające uprawnienia budowlane odpowiedniej specjalności w odniesieniu do przewodów kominowych dymowych, spalinowych i wentylacyjnych.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sporządzi wykaz osób uprawnionych do przeprowadzenia 5-letniego przeglądu stanu technicznego budynków/budowli – </w:t>
      </w:r>
      <w:r>
        <w:rPr>
          <w:rFonts w:ascii="Verdana" w:hAnsi="Verdana"/>
          <w:b/>
          <w:sz w:val="16"/>
          <w:szCs w:val="16"/>
        </w:rPr>
        <w:t xml:space="preserve">załącznik Nr 6 </w:t>
      </w:r>
      <w:r>
        <w:rPr>
          <w:rFonts w:ascii="Verdana" w:hAnsi="Verdana"/>
          <w:b/>
          <w:sz w:val="16"/>
          <w:szCs w:val="16"/>
        </w:rPr>
        <w:t>do Formularza ofertowego.</w:t>
      </w:r>
    </w:p>
    <w:p>
      <w:pPr>
        <w:pStyle w:val="ListParagraph"/>
        <w:spacing w:lineRule="auto" w:line="360"/>
        <w:jc w:val="both"/>
        <w:rPr>
          <w:rFonts w:ascii="Verdana" w:hAnsi="Verdana"/>
          <w:color w:val="FF0000"/>
          <w:sz w:val="16"/>
          <w:szCs w:val="16"/>
        </w:rPr>
      </w:pPr>
      <w:r>
        <w:rPr>
          <w:rFonts w:ascii="Verdana" w:hAnsi="Verdana"/>
          <w:color w:val="FF0000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ListParagraph"/>
        <w:numPr>
          <w:ilvl w:val="0"/>
          <w:numId w:val="9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Uwarunkowania organizacyjno-techniczne. 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dokonanie wizji lokalnej – oglądu budynków i budowli w terminie uzgodnionym z Zamawiającym, jednakże wizja lokalna nie może się odbyć później niż w dniu poprzedzającym składanie ofert.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przed przystąpieniem do kontroli okresowej powinien niezwłocznie po podpisaniu umowy skontaktować się z upoważnionym przedstawicielami Zamawiającego oraz zapoznać się z protokołami z poprzednich kontroli oraz informacjami o dokonanych naprawach. Dokumentacja techniczna budynków do wglądu w siedzibie 7 Szpitala Marynarki Wojennej na ul. Polanki 117 w Gdańsku, w dziale Logistyki - budynek Nr 34 Sekcja Gospodarczo-Technicznej.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ramach przeglądu technicznego poszczególnych budynków Wykonawca wykona dokumentację fotograficzną, która stanowić będzie załącznik do protokołu z przeglądu – </w:t>
      </w:r>
      <w:r>
        <w:rPr>
          <w:rFonts w:ascii="Verdana" w:hAnsi="Verdana"/>
          <w:b/>
          <w:sz w:val="16"/>
          <w:szCs w:val="16"/>
        </w:rPr>
        <w:t>załącznik nr 4.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Pracownicy Wykonawcy realizujący umowę powinni posiadać przy sobie wydany przez Zamawiającego dokument upoważniający do wstępu na budynek administrowany i zarządzany przez Zamawiającego oraz imienne identyfikatory.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Dokumentację z przeglądów należy sporządzić w 2 egz. w wersji papierowej oraz w wersji elektronicznej  i dostarczyć do siedziby Logistyki – budynek nr 34 Sekcja Gospodarczo-Technicznej.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może powierzyć wykonanie zamówienia podwykonawcom. W takim wypadku musi wskazać w ofercie część (zakres) zamówienia, której wykonanie powierzy podwykonawcom - </w:t>
      </w:r>
      <w:r>
        <w:rPr>
          <w:rFonts w:ascii="Verdana" w:hAnsi="Verdana"/>
          <w:b/>
          <w:sz w:val="16"/>
          <w:szCs w:val="16"/>
        </w:rPr>
        <w:t>załącznik Nr 7</w:t>
      </w:r>
      <w:r>
        <w:rPr>
          <w:rFonts w:ascii="Verdana" w:hAnsi="Verdana"/>
          <w:sz w:val="16"/>
          <w:szCs w:val="16"/>
        </w:rPr>
        <w:t>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Wykaz budynków 7 Szpitala Marynarki Wojennej w Gdańsku – </w:t>
      </w:r>
      <w:r>
        <w:rPr>
          <w:rFonts w:ascii="Verdana" w:hAnsi="Verdana"/>
          <w:b/>
          <w:sz w:val="16"/>
          <w:szCs w:val="16"/>
        </w:rPr>
        <w:t>załącznik nr 5.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Szczegółowych informacji dotyczących ww. zapytania ofertowego wraz z udostępnieniem dokumentacji i wizją lokalną udziela p. Michał PEJKA tel. 697 077 118.</w:t>
      </w:r>
    </w:p>
    <w:p>
      <w:pPr>
        <w:pStyle w:val="ListParagraph"/>
        <w:numPr>
          <w:ilvl w:val="0"/>
          <w:numId w:val="10"/>
        </w:numPr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winien być ubezpieczony od odpowiedzialności cywilnej w zakresie prowadzonej działalności gospodarczej co najmniej na kwotę </w:t>
      </w:r>
      <w:r>
        <w:rPr>
          <w:rFonts w:ascii="Verdana" w:hAnsi="Verdana"/>
          <w:b/>
          <w:sz w:val="16"/>
          <w:szCs w:val="16"/>
        </w:rPr>
        <w:t xml:space="preserve">50 000,00 zł – należy załączyć do oferty </w:t>
      </w:r>
      <w:r>
        <w:rPr>
          <w:rFonts w:cs="Arial" w:ascii="Verdana" w:hAnsi="Verdana"/>
          <w:sz w:val="16"/>
          <w:szCs w:val="16"/>
        </w:rPr>
        <w:t xml:space="preserve">poświadczoną przez Wykonawcę kserokopię polisy ubezpieczeniowej lub inny dokument ubezpieczenia potwierdzający, że Wykonawca jest ubezpieczony od odpowiedzialności cywilnej w zakresie prowadzonej działalności gospodarczej na kwotę min.: </w:t>
      </w:r>
      <w:r>
        <w:rPr>
          <w:rFonts w:cs="Arial" w:ascii="Verdana" w:hAnsi="Verdana"/>
          <w:b/>
          <w:sz w:val="16"/>
          <w:szCs w:val="16"/>
        </w:rPr>
        <w:t>50.000,00 PLN.</w:t>
      </w:r>
    </w:p>
    <w:p>
      <w:pPr>
        <w:pStyle w:val="ListParagraph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spacing w:lineRule="auto" w:line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</w:r>
    </w:p>
    <w:p>
      <w:pPr>
        <w:pStyle w:val="Normal"/>
        <w:rPr>
          <w:rFonts w:ascii="Verdana" w:hAnsi="Verdana"/>
          <w:b/>
          <w:b/>
          <w:bCs/>
          <w:sz w:val="16"/>
          <w:szCs w:val="16"/>
        </w:rPr>
      </w:pPr>
      <w:r>
        <w:rPr/>
      </w:r>
    </w:p>
    <w:sectPr>
      <w:footerReference w:type="default" r:id="rId2"/>
      <w:type w:val="nextPage"/>
      <w:pgSz w:w="11906" w:h="16838"/>
      <w:pgMar w:left="1418" w:right="1418" w:gutter="0" w:header="0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83246299"/>
    </w:sdtPr>
    <w:sdtContent>
      <w:p>
        <w:pPr>
          <w:pStyle w:val="Stopka"/>
          <w:jc w:val="right"/>
          <w:rPr/>
        </w:pPr>
        <w:r>
          <w:rPr>
            <w:rFonts w:ascii="Verdana" w:hAnsi="Verdana"/>
            <w:sz w:val="14"/>
            <w:szCs w:val="14"/>
          </w:rPr>
          <w:fldChar w:fldCharType="begin"/>
        </w:r>
        <w:r>
          <w:rPr>
            <w:sz w:val="14"/>
            <w:szCs w:val="14"/>
            <w:rFonts w:ascii="Verdana" w:hAnsi="Verdana"/>
          </w:rPr>
          <w:instrText xml:space="preserve"> PAGE </w:instrText>
        </w:r>
        <w:r>
          <w:rPr>
            <w:sz w:val="14"/>
            <w:szCs w:val="14"/>
            <w:rFonts w:ascii="Verdana" w:hAnsi="Verdana"/>
          </w:rPr>
          <w:fldChar w:fldCharType="separate"/>
        </w:r>
        <w:r>
          <w:rPr>
            <w:sz w:val="14"/>
            <w:szCs w:val="14"/>
            <w:rFonts w:ascii="Verdana" w:hAnsi="Verdana"/>
          </w:rPr>
          <w:t>4</w:t>
        </w:r>
        <w:r>
          <w:rPr>
            <w:sz w:val="14"/>
            <w:szCs w:val="14"/>
            <w:rFonts w:ascii="Verdana" w:hAnsi="Verdana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 w:val="false"/>
        <w:bCs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9">
    <w:lvl w:ilvl="0">
      <w:start w:val="3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632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9276f1"/>
    <w:pPr>
      <w:keepNext w:val="true"/>
      <w:ind w:right="-709" w:hanging="0"/>
      <w:outlineLvl w:val="0"/>
    </w:pPr>
    <w:rPr>
      <w:b/>
      <w:sz w:val="28"/>
    </w:rPr>
  </w:style>
  <w:style w:type="paragraph" w:styleId="Nagwek2">
    <w:name w:val="Heading 2"/>
    <w:basedOn w:val="Normal"/>
    <w:next w:val="Normal"/>
    <w:link w:val="Nagwek2Znak"/>
    <w:uiPriority w:val="99"/>
    <w:qFormat/>
    <w:rsid w:val="009276f1"/>
    <w:pPr>
      <w:keepNext w:val="true"/>
      <w:ind w:right="-709" w:hanging="0"/>
      <w:outlineLvl w:val="1"/>
    </w:pPr>
    <w:rPr>
      <w:b/>
      <w:sz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styleId="Nagwek2Znak" w:customStyle="1">
    <w:name w:val="Nagłówek 2 Znak"/>
    <w:basedOn w:val="DefaultParagraphFont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styleId="Czeinternetowe">
    <w:name w:val="Łącze internetowe"/>
    <w:basedOn w:val="DefaultParagraphFont"/>
    <w:uiPriority w:val="99"/>
    <w:rsid w:val="00d048db"/>
    <w:rPr>
      <w:rFonts w:cs="Times New Roman"/>
      <w:color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qFormat/>
    <w:rsid w:val="00d048db"/>
    <w:rPr>
      <w:rFonts w:cs="Times New Roman"/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locked/>
    <w:rsid w:val="00e77beb"/>
    <w:rPr>
      <w:rFonts w:cs="Times New Roman"/>
      <w:lang w:eastAsia="pl-PL"/>
    </w:rPr>
  </w:style>
  <w:style w:type="character" w:styleId="StopkaZnak" w:customStyle="1">
    <w:name w:val="Stopka Znak"/>
    <w:basedOn w:val="DefaultParagraphFont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99"/>
    <w:qFormat/>
    <w:rsid w:val="00d048db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rsid w:val="00e77be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e77beb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LibreOffice/7.3.1.3$Windows_X86_64 LibreOffice_project/a69ca51ded25f3eefd52d7bf9a5fad8c90b87951</Application>
  <AppVersion>15.0000</AppVersion>
  <Pages>4</Pages>
  <Words>1242</Words>
  <Characters>8756</Characters>
  <CharactersWithSpaces>10034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2020-07-28T12:27:00Z</dcterms:created>
  <dc:creator>Arek Dębicki</dc:creator>
  <dc:description/>
  <dc:language>pl-PL</dc:language>
  <cp:lastModifiedBy/>
  <cp:lastPrinted>2026-06-23T08:48:03Z</cp:lastPrinted>
  <dcterms:modified xsi:type="dcterms:W3CDTF">2026-06-23T08:48:12Z</dcterms:modified>
  <cp:revision>7</cp:revision>
  <dc:subject/>
  <dc:title>                                  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