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6597C853" w:rsidR="00564B52" w:rsidRDefault="00EF61D2" w:rsidP="00EF61D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F61D2">
        <w:rPr>
          <w:rFonts w:ascii="Verdana" w:hAnsi="Verdana"/>
          <w:b/>
          <w:bCs/>
          <w:sz w:val="16"/>
          <w:szCs w:val="16"/>
        </w:rPr>
        <w:t>Usługa prania bielizny szpitalnej na potrzeby 7 Szpitala Marynarki Wojennej w Gdańsku</w:t>
      </w:r>
    </w:p>
    <w:p w14:paraId="3FD885C3" w14:textId="3A4BCBED" w:rsidR="00EF61D2" w:rsidRPr="00EF61D2" w:rsidRDefault="00EF61D2" w:rsidP="00EF61D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Postępowanie: 20/2025/TP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573A28A5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F61D2">
        <w:rPr>
          <w:rFonts w:ascii="Verdana" w:hAnsi="Verdana"/>
          <w:sz w:val="16"/>
          <w:szCs w:val="16"/>
        </w:rPr>
        <w:t>5</w:t>
      </w:r>
    </w:p>
    <w:p w14:paraId="52445D43" w14:textId="77777777" w:rsidR="00EF61D2" w:rsidRDefault="00EF61D2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5A69AC9F" w:rsidR="003B0BA4" w:rsidRPr="00EF61D2" w:rsidRDefault="00564B52" w:rsidP="00EF61D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wykonanie </w:t>
      </w:r>
      <w:r w:rsidR="00EF61D2">
        <w:rPr>
          <w:rFonts w:ascii="Verdana" w:hAnsi="Verdana"/>
          <w:sz w:val="16"/>
          <w:szCs w:val="16"/>
        </w:rPr>
        <w:t>usługi prania bielizny szpitalnej na potrzeby 7 Szpitala Marynarki Wojennej w Gdańsku.</w:t>
      </w:r>
    </w:p>
    <w:p w14:paraId="5F6EADED" w14:textId="02376E17" w:rsidR="003B0BA4" w:rsidRPr="00EF61D2" w:rsidRDefault="00564B52" w:rsidP="003B0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F61D2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 w:rsidRPr="00EF61D2">
        <w:rPr>
          <w:rFonts w:ascii="Verdana" w:hAnsi="Verdana"/>
          <w:b/>
          <w:bCs/>
          <w:sz w:val="16"/>
          <w:szCs w:val="16"/>
        </w:rPr>
        <w:t xml:space="preserve"> </w:t>
      </w:r>
      <w:r w:rsidR="00EF61D2" w:rsidRPr="00EF61D2">
        <w:rPr>
          <w:rFonts w:ascii="Verdana" w:hAnsi="Verdana"/>
          <w:b/>
          <w:bCs/>
          <w:sz w:val="16"/>
          <w:szCs w:val="16"/>
        </w:rPr>
        <w:t>98310000-9</w:t>
      </w:r>
      <w:r w:rsidR="00EF61D2" w:rsidRPr="00EF61D2">
        <w:rPr>
          <w:rFonts w:ascii="Verdana" w:hAnsi="Verdana"/>
          <w:sz w:val="16"/>
          <w:szCs w:val="16"/>
        </w:rPr>
        <w:t xml:space="preserve"> Usługi prania i czyszczenia na sucho</w:t>
      </w:r>
      <w:r w:rsidR="00EF61D2">
        <w:rPr>
          <w:rFonts w:ascii="Verdana" w:hAnsi="Verdana"/>
          <w:sz w:val="16"/>
          <w:szCs w:val="16"/>
        </w:rPr>
        <w:t>.</w:t>
      </w: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38829EBB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F61D2">
        <w:rPr>
          <w:rFonts w:ascii="Verdana" w:hAnsi="Verdana"/>
          <w:sz w:val="16"/>
          <w:szCs w:val="16"/>
        </w:rPr>
        <w:t>12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EF61D2">
        <w:rPr>
          <w:rFonts w:ascii="Verdana" w:hAnsi="Verdana"/>
          <w:sz w:val="16"/>
          <w:szCs w:val="16"/>
        </w:rPr>
        <w:t xml:space="preserve"> miesięcy</w:t>
      </w:r>
      <w:r w:rsidRPr="00D11BA3">
        <w:rPr>
          <w:rFonts w:ascii="Verdana" w:hAnsi="Verdana"/>
          <w:sz w:val="16"/>
          <w:szCs w:val="16"/>
        </w:rPr>
        <w:t xml:space="preserve"> od daty zawarcia umowy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</w:t>
        </w:r>
        <w:r w:rsidR="00535041" w:rsidRPr="00E20AA2">
          <w:rPr>
            <w:rStyle w:val="Hipercze"/>
            <w:rFonts w:ascii="Verdana" w:hAnsi="Verdana"/>
            <w:sz w:val="16"/>
            <w:szCs w:val="16"/>
          </w:rPr>
          <w:lastRenderedPageBreak/>
          <w:t>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lastRenderedPageBreak/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EF61D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F61D2">
        <w:rPr>
          <w:rFonts w:ascii="Verdana" w:hAnsi="Verdana"/>
          <w:b/>
          <w:bCs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2D68C5D1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 xml:space="preserve">przedmiotowe środki dowodowe: </w:t>
      </w:r>
    </w:p>
    <w:p w14:paraId="440FC83A" w14:textId="77777777" w:rsidR="00EF61D2" w:rsidRPr="00EF61D2" w:rsidRDefault="00EF61D2" w:rsidP="00EF61D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F61D2">
        <w:rPr>
          <w:rFonts w:ascii="Verdana" w:hAnsi="Verdana"/>
          <w:sz w:val="16"/>
          <w:szCs w:val="16"/>
        </w:rPr>
        <w:t>aktualna pozytywna opinia sanitarna wydana przez Państwowy Powiatowy Inspektorat Sanitarno-Epidemiologiczny potwierdzająca, że pralnia w której będzie wykonywana usługa dla Zamawiającego stosuje środki piorąco - dezynfekujące posiadające odpowiednie atesty oraz posiada pełną barierę sanitarno-epidemiologiczną, komorę do dezynfekcji materacy i poduszek,</w:t>
      </w:r>
    </w:p>
    <w:p w14:paraId="2C8144BE" w14:textId="77777777" w:rsidR="00EF61D2" w:rsidRPr="00EF61D2" w:rsidRDefault="00EF61D2" w:rsidP="00EF61D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F61D2">
        <w:rPr>
          <w:rFonts w:ascii="Verdana" w:hAnsi="Verdana"/>
          <w:sz w:val="16"/>
          <w:szCs w:val="16"/>
        </w:rPr>
        <w:t>aktualna pozytywna opinia sanitarna wydana przez Państwowy Powiatowy Inspektorat Sanitarno-Epidemiologiczny, dopuszczająca transport specjalistyczny Wykonawcy do przewożenia bielizny szpitalnej,</w:t>
      </w:r>
    </w:p>
    <w:p w14:paraId="76370789" w14:textId="77777777" w:rsidR="00EF61D2" w:rsidRPr="00EF61D2" w:rsidRDefault="00EF61D2" w:rsidP="00EF61D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F61D2">
        <w:rPr>
          <w:rFonts w:ascii="Verdana" w:hAnsi="Verdana"/>
          <w:sz w:val="16"/>
          <w:szCs w:val="16"/>
        </w:rPr>
        <w:t>wyniki badań potwierdzających czystość mikrobiologiczną dla: materacy, pościeli ogólno- szpitalnej, fartuchów operacyjnych,</w:t>
      </w:r>
    </w:p>
    <w:p w14:paraId="3828FCCB" w14:textId="77777777" w:rsidR="00EF61D2" w:rsidRPr="00EF61D2" w:rsidRDefault="00EF61D2" w:rsidP="00EF61D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F61D2">
        <w:rPr>
          <w:rFonts w:ascii="Verdana" w:hAnsi="Verdana"/>
          <w:sz w:val="16"/>
          <w:szCs w:val="16"/>
        </w:rPr>
        <w:t>aktualny certyfikat jakości normy ISO potwierdzający spełnianie standardów jakości,</w:t>
      </w:r>
    </w:p>
    <w:p w14:paraId="0331C98E" w14:textId="471E8387" w:rsidR="00EF61D2" w:rsidRPr="00EF61D2" w:rsidRDefault="00EF61D2" w:rsidP="00EF61D2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F61D2">
        <w:rPr>
          <w:rFonts w:ascii="Verdana" w:hAnsi="Verdana"/>
          <w:sz w:val="16"/>
          <w:szCs w:val="16"/>
        </w:rPr>
        <w:t>oświadczenie, iż pralnia Wykonawcy spełnia wymagania Rozporządzenia Ministra Zdrowia z dnia 10.11.2006 roku  (Dz. U. nr 213, poz. 1568 a dnia 24.11.2006 roku).</w:t>
      </w: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7AEA0272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EF61D2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</w:t>
      </w:r>
      <w:r w:rsidRPr="00B505E5">
        <w:rPr>
          <w:rFonts w:ascii="Verdana" w:hAnsi="Verdana"/>
          <w:sz w:val="16"/>
          <w:szCs w:val="16"/>
        </w:rPr>
        <w:lastRenderedPageBreak/>
        <w:t>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5243102A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i przedmiotowych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65D570A8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EF61D2">
        <w:rPr>
          <w:rFonts w:ascii="Verdana" w:hAnsi="Verdana"/>
          <w:sz w:val="16"/>
          <w:szCs w:val="16"/>
        </w:rPr>
        <w:t>24.01.2025r.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EF61D2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141995F0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EF61D2">
        <w:rPr>
          <w:rFonts w:ascii="Verdana" w:hAnsi="Verdana"/>
          <w:sz w:val="16"/>
          <w:szCs w:val="16"/>
        </w:rPr>
        <w:t>24.01.2025r.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EF61D2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 xml:space="preserve">W sytuacji, gdy Zamawiający nie będzie mógł dokonać wyboru najkorzystniejszej oferty ze względu na to, że zostały złożone oferty o takiej samej cenie, wezwie on Wykonawców, którzy złożyli te oferty, do </w:t>
      </w:r>
      <w:r w:rsidRPr="007B2B75">
        <w:rPr>
          <w:rFonts w:ascii="Verdana" w:hAnsi="Verdana"/>
          <w:sz w:val="16"/>
          <w:szCs w:val="16"/>
        </w:rPr>
        <w:lastRenderedPageBreak/>
        <w:t>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lastRenderedPageBreak/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AFD22F7" w14:textId="7B12DEA1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DF3D2D5" w14:textId="77777777" w:rsidR="002B7E4C" w:rsidRDefault="002B7E4C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0D40" w14:textId="77777777" w:rsidR="000852F2" w:rsidRDefault="000852F2" w:rsidP="00D11BA3">
      <w:pPr>
        <w:spacing w:after="0" w:line="240" w:lineRule="auto"/>
      </w:pPr>
      <w:r>
        <w:separator/>
      </w:r>
    </w:p>
  </w:endnote>
  <w:endnote w:type="continuationSeparator" w:id="0">
    <w:p w14:paraId="29934F15" w14:textId="77777777" w:rsidR="000852F2" w:rsidRDefault="000852F2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B22E" w14:textId="77777777" w:rsidR="000852F2" w:rsidRDefault="000852F2" w:rsidP="00D11BA3">
      <w:pPr>
        <w:spacing w:after="0" w:line="240" w:lineRule="auto"/>
      </w:pPr>
      <w:r>
        <w:separator/>
      </w:r>
    </w:p>
  </w:footnote>
  <w:footnote w:type="continuationSeparator" w:id="0">
    <w:p w14:paraId="7624A73C" w14:textId="77777777" w:rsidR="000852F2" w:rsidRDefault="000852F2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B0757"/>
    <w:multiLevelType w:val="hybridMultilevel"/>
    <w:tmpl w:val="09D8151E"/>
    <w:lvl w:ilvl="0" w:tplc="7778D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6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A3493"/>
    <w:multiLevelType w:val="hybridMultilevel"/>
    <w:tmpl w:val="F550BED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2956663">
    <w:abstractNumId w:val="26"/>
  </w:num>
  <w:num w:numId="2" w16cid:durableId="1931155897">
    <w:abstractNumId w:val="11"/>
  </w:num>
  <w:num w:numId="3" w16cid:durableId="1061097633">
    <w:abstractNumId w:val="2"/>
  </w:num>
  <w:num w:numId="4" w16cid:durableId="631714296">
    <w:abstractNumId w:val="19"/>
  </w:num>
  <w:num w:numId="5" w16cid:durableId="183057023">
    <w:abstractNumId w:val="27"/>
  </w:num>
  <w:num w:numId="6" w16cid:durableId="658657480">
    <w:abstractNumId w:val="31"/>
  </w:num>
  <w:num w:numId="7" w16cid:durableId="1003819933">
    <w:abstractNumId w:val="8"/>
  </w:num>
  <w:num w:numId="8" w16cid:durableId="1814366404">
    <w:abstractNumId w:val="0"/>
  </w:num>
  <w:num w:numId="9" w16cid:durableId="837231796">
    <w:abstractNumId w:val="35"/>
  </w:num>
  <w:num w:numId="10" w16cid:durableId="137262335">
    <w:abstractNumId w:val="9"/>
  </w:num>
  <w:num w:numId="11" w16cid:durableId="1753047351">
    <w:abstractNumId w:val="23"/>
  </w:num>
  <w:num w:numId="12" w16cid:durableId="32121170">
    <w:abstractNumId w:val="22"/>
  </w:num>
  <w:num w:numId="13" w16cid:durableId="1813399334">
    <w:abstractNumId w:val="21"/>
  </w:num>
  <w:num w:numId="14" w16cid:durableId="1241718217">
    <w:abstractNumId w:val="12"/>
  </w:num>
  <w:num w:numId="15" w16cid:durableId="356778904">
    <w:abstractNumId w:val="25"/>
  </w:num>
  <w:num w:numId="16" w16cid:durableId="474228310">
    <w:abstractNumId w:val="17"/>
  </w:num>
  <w:num w:numId="17" w16cid:durableId="43993695">
    <w:abstractNumId w:val="3"/>
  </w:num>
  <w:num w:numId="18" w16cid:durableId="731544811">
    <w:abstractNumId w:val="28"/>
  </w:num>
  <w:num w:numId="19" w16cid:durableId="2115972879">
    <w:abstractNumId w:val="38"/>
  </w:num>
  <w:num w:numId="20" w16cid:durableId="274017540">
    <w:abstractNumId w:val="37"/>
  </w:num>
  <w:num w:numId="21" w16cid:durableId="1182207549">
    <w:abstractNumId w:val="29"/>
  </w:num>
  <w:num w:numId="22" w16cid:durableId="1957441765">
    <w:abstractNumId w:val="30"/>
  </w:num>
  <w:num w:numId="23" w16cid:durableId="1349677250">
    <w:abstractNumId w:val="18"/>
  </w:num>
  <w:num w:numId="24" w16cid:durableId="967785868">
    <w:abstractNumId w:val="7"/>
  </w:num>
  <w:num w:numId="25" w16cid:durableId="349573271">
    <w:abstractNumId w:val="36"/>
  </w:num>
  <w:num w:numId="26" w16cid:durableId="204755340">
    <w:abstractNumId w:val="4"/>
  </w:num>
  <w:num w:numId="27" w16cid:durableId="983781827">
    <w:abstractNumId w:val="39"/>
  </w:num>
  <w:num w:numId="28" w16cid:durableId="1987737171">
    <w:abstractNumId w:val="5"/>
  </w:num>
  <w:num w:numId="29" w16cid:durableId="84352125">
    <w:abstractNumId w:val="32"/>
  </w:num>
  <w:num w:numId="30" w16cid:durableId="1514682326">
    <w:abstractNumId w:val="13"/>
  </w:num>
  <w:num w:numId="31" w16cid:durableId="174851270">
    <w:abstractNumId w:val="14"/>
  </w:num>
  <w:num w:numId="32" w16cid:durableId="743648352">
    <w:abstractNumId w:val="24"/>
  </w:num>
  <w:num w:numId="33" w16cid:durableId="866873073">
    <w:abstractNumId w:val="33"/>
  </w:num>
  <w:num w:numId="34" w16cid:durableId="1923567642">
    <w:abstractNumId w:val="20"/>
  </w:num>
  <w:num w:numId="35" w16cid:durableId="1518810650">
    <w:abstractNumId w:val="16"/>
  </w:num>
  <w:num w:numId="36" w16cid:durableId="975990960">
    <w:abstractNumId w:val="1"/>
  </w:num>
  <w:num w:numId="37" w16cid:durableId="636498755">
    <w:abstractNumId w:val="10"/>
  </w:num>
  <w:num w:numId="38" w16cid:durableId="739717670">
    <w:abstractNumId w:val="6"/>
  </w:num>
  <w:num w:numId="39" w16cid:durableId="1674725881">
    <w:abstractNumId w:val="15"/>
  </w:num>
  <w:num w:numId="40" w16cid:durableId="114099369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52FD1"/>
    <w:rsid w:val="000612EC"/>
    <w:rsid w:val="00070616"/>
    <w:rsid w:val="00072ED7"/>
    <w:rsid w:val="00074C27"/>
    <w:rsid w:val="000852F2"/>
    <w:rsid w:val="000C06A7"/>
    <w:rsid w:val="000D47CA"/>
    <w:rsid w:val="000F1BE5"/>
    <w:rsid w:val="000F69B2"/>
    <w:rsid w:val="00116AD3"/>
    <w:rsid w:val="001501BB"/>
    <w:rsid w:val="0015570D"/>
    <w:rsid w:val="00164A04"/>
    <w:rsid w:val="0019095C"/>
    <w:rsid w:val="00197559"/>
    <w:rsid w:val="001A2657"/>
    <w:rsid w:val="001B6EE0"/>
    <w:rsid w:val="00210551"/>
    <w:rsid w:val="002B7E4C"/>
    <w:rsid w:val="002C0DA1"/>
    <w:rsid w:val="002C5DEB"/>
    <w:rsid w:val="002F40C4"/>
    <w:rsid w:val="00300581"/>
    <w:rsid w:val="00314099"/>
    <w:rsid w:val="0032323F"/>
    <w:rsid w:val="00346268"/>
    <w:rsid w:val="00384EA4"/>
    <w:rsid w:val="00394928"/>
    <w:rsid w:val="00396A2B"/>
    <w:rsid w:val="003B0BA4"/>
    <w:rsid w:val="003F3433"/>
    <w:rsid w:val="004707C7"/>
    <w:rsid w:val="00471531"/>
    <w:rsid w:val="004841CA"/>
    <w:rsid w:val="004F176B"/>
    <w:rsid w:val="00514938"/>
    <w:rsid w:val="00535041"/>
    <w:rsid w:val="00563596"/>
    <w:rsid w:val="00564B52"/>
    <w:rsid w:val="005C0DFC"/>
    <w:rsid w:val="00605A04"/>
    <w:rsid w:val="006259D0"/>
    <w:rsid w:val="006620F6"/>
    <w:rsid w:val="00671B1A"/>
    <w:rsid w:val="006B6910"/>
    <w:rsid w:val="006F59EC"/>
    <w:rsid w:val="00737B88"/>
    <w:rsid w:val="0076551D"/>
    <w:rsid w:val="00773ED2"/>
    <w:rsid w:val="007B2B75"/>
    <w:rsid w:val="007D7FD7"/>
    <w:rsid w:val="008076DF"/>
    <w:rsid w:val="0081076D"/>
    <w:rsid w:val="00826EE0"/>
    <w:rsid w:val="00861FE2"/>
    <w:rsid w:val="00885941"/>
    <w:rsid w:val="008A4809"/>
    <w:rsid w:val="008C795C"/>
    <w:rsid w:val="008D52A1"/>
    <w:rsid w:val="008E1834"/>
    <w:rsid w:val="00913A4A"/>
    <w:rsid w:val="00992DAA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C3215F"/>
    <w:rsid w:val="00C32D35"/>
    <w:rsid w:val="00C834A1"/>
    <w:rsid w:val="00CA7E8D"/>
    <w:rsid w:val="00CC3E56"/>
    <w:rsid w:val="00CE662E"/>
    <w:rsid w:val="00D11BA3"/>
    <w:rsid w:val="00D2239A"/>
    <w:rsid w:val="00D346FE"/>
    <w:rsid w:val="00D471D0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661D2"/>
    <w:rsid w:val="00E7487C"/>
    <w:rsid w:val="00E916BE"/>
    <w:rsid w:val="00E9408F"/>
    <w:rsid w:val="00E97F12"/>
    <w:rsid w:val="00EA747A"/>
    <w:rsid w:val="00EB6EAD"/>
    <w:rsid w:val="00EF61D2"/>
    <w:rsid w:val="00EF6D36"/>
    <w:rsid w:val="00F16111"/>
    <w:rsid w:val="00F51717"/>
    <w:rsid w:val="00F66AA7"/>
    <w:rsid w:val="00F70930"/>
    <w:rsid w:val="00F71711"/>
    <w:rsid w:val="00F8625B"/>
    <w:rsid w:val="00FB1031"/>
    <w:rsid w:val="00FB12A4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3722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dcterms:created xsi:type="dcterms:W3CDTF">2025-01-13T12:15:00Z</dcterms:created>
  <dcterms:modified xsi:type="dcterms:W3CDTF">2025-01-13T12:15:00Z</dcterms:modified>
</cp:coreProperties>
</file>