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CE915EA" w14:textId="45627D52" w:rsidR="00564B52" w:rsidRPr="00D11BA3" w:rsidRDefault="004E7287" w:rsidP="004E7287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USŁUGA PRANIA BIELIZNY SZPITALNEJ NA POTRZEBY 7 SZPITALA MARYNARKI WOJENNEJ W GDAŃSKU</w:t>
      </w:r>
    </w:p>
    <w:p w14:paraId="64FA6AA7" w14:textId="7CAEFC04" w:rsidR="00564B52" w:rsidRPr="00D11BA3" w:rsidRDefault="00363FCB" w:rsidP="00363FCB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4E7287">
        <w:rPr>
          <w:rFonts w:ascii="Verdana" w:hAnsi="Verdana"/>
          <w:sz w:val="16"/>
          <w:szCs w:val="16"/>
        </w:rPr>
        <w:t>155/2026/PN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6FA698D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TRYB UDZIELENIA ZAMÓWIENIA: </w:t>
      </w:r>
      <w:r w:rsidR="00302288">
        <w:rPr>
          <w:rFonts w:ascii="Verdana" w:hAnsi="Verdana"/>
          <w:sz w:val="16"/>
          <w:szCs w:val="16"/>
        </w:rPr>
        <w:t>przetarg nieograniczony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E3D522D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B034963" w14:textId="77777777" w:rsidR="004E7287" w:rsidRDefault="004E7287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E55A297" w14:textId="600716D1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7FBEBC03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363FCB">
        <w:rPr>
          <w:rFonts w:ascii="Verdana" w:hAnsi="Verdana"/>
          <w:sz w:val="16"/>
          <w:szCs w:val="16"/>
        </w:rPr>
        <w:t>6</w:t>
      </w:r>
      <w:r w:rsidR="00564B52" w:rsidRPr="00D11BA3">
        <w:rPr>
          <w:rFonts w:ascii="Verdana" w:hAnsi="Verdana"/>
          <w:sz w:val="16"/>
          <w:szCs w:val="16"/>
        </w:rPr>
        <w:t> </w:t>
      </w: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10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51666906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4F264A">
        <w:rPr>
          <w:rFonts w:ascii="Verdana" w:hAnsi="Verdana"/>
          <w:sz w:val="16"/>
          <w:szCs w:val="16"/>
        </w:rPr>
        <w:t xml:space="preserve"> Platformie e-Zamówienia oraz na</w:t>
      </w:r>
      <w:r w:rsidRPr="00D11BA3">
        <w:rPr>
          <w:rFonts w:ascii="Verdana" w:hAnsi="Verdana"/>
          <w:sz w:val="16"/>
          <w:szCs w:val="16"/>
        </w:rPr>
        <w:t xml:space="preserve"> stronie internetowej: </w:t>
      </w:r>
      <w:hyperlink r:id="rId11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D824D4">
        <w:rPr>
          <w:rFonts w:ascii="Verdana" w:hAnsi="Verdana" w:cs="Verdana"/>
          <w:sz w:val="16"/>
          <w:szCs w:val="16"/>
        </w:rPr>
        <w:t xml:space="preserve"> 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3A4EF2DF" w:rsidR="00564B52" w:rsidRDefault="00564B52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0077A">
        <w:rPr>
          <w:rFonts w:ascii="Verdana" w:hAnsi="Verdana"/>
          <w:sz w:val="16"/>
          <w:szCs w:val="16"/>
        </w:rPr>
        <w:t xml:space="preserve">Postępowanie o udzielenie zamówienia publicznego prowadzone jest w trybie </w:t>
      </w:r>
      <w:r w:rsidR="00302288" w:rsidRPr="00D0077A">
        <w:rPr>
          <w:rFonts w:ascii="Verdana" w:hAnsi="Verdana"/>
          <w:sz w:val="16"/>
          <w:szCs w:val="16"/>
        </w:rPr>
        <w:t>przetargu nieograniczonego</w:t>
      </w:r>
      <w:r w:rsidRPr="00D0077A">
        <w:rPr>
          <w:rFonts w:ascii="Verdana" w:hAnsi="Verdana"/>
          <w:sz w:val="16"/>
          <w:szCs w:val="16"/>
        </w:rPr>
        <w:t xml:space="preserve">, na podstawie art. </w:t>
      </w:r>
      <w:r w:rsidR="00302288" w:rsidRPr="00D0077A">
        <w:rPr>
          <w:rFonts w:ascii="Verdana" w:hAnsi="Verdana"/>
          <w:sz w:val="16"/>
          <w:szCs w:val="16"/>
        </w:rPr>
        <w:t>132</w:t>
      </w:r>
      <w:r w:rsidRPr="00D0077A">
        <w:rPr>
          <w:rFonts w:ascii="Verdana" w:hAnsi="Verdana"/>
          <w:sz w:val="16"/>
          <w:szCs w:val="16"/>
        </w:rPr>
        <w:t xml:space="preserve"> ustawy z dnia 11 września 2019 r. - Prawo zamówień publicznych (</w:t>
      </w:r>
      <w:r w:rsidR="001C777A" w:rsidRPr="001C777A">
        <w:rPr>
          <w:rFonts w:ascii="Verdana" w:hAnsi="Verdana"/>
          <w:sz w:val="16"/>
          <w:szCs w:val="16"/>
        </w:rPr>
        <w:t>Dz. U. z 2023 r. poz. 1605</w:t>
      </w:r>
      <w:r w:rsidRPr="00D0077A">
        <w:rPr>
          <w:rFonts w:ascii="Verdana" w:hAnsi="Verdana"/>
          <w:sz w:val="16"/>
          <w:szCs w:val="16"/>
        </w:rPr>
        <w:t>) [zwanej dalej także „</w:t>
      </w:r>
      <w:r w:rsidR="00DD5508" w:rsidRPr="00D0077A">
        <w:rPr>
          <w:rFonts w:ascii="Verdana" w:hAnsi="Verdana"/>
          <w:sz w:val="16"/>
          <w:szCs w:val="16"/>
        </w:rPr>
        <w:t>pzp</w:t>
      </w:r>
      <w:r w:rsidRPr="00D0077A">
        <w:rPr>
          <w:rFonts w:ascii="Verdana" w:hAnsi="Verdana"/>
          <w:sz w:val="16"/>
          <w:szCs w:val="16"/>
        </w:rPr>
        <w:t>”]</w:t>
      </w:r>
      <w:r w:rsidR="004273BC" w:rsidRPr="00D0077A">
        <w:rPr>
          <w:rFonts w:ascii="Verdana" w:hAnsi="Verdana"/>
          <w:sz w:val="16"/>
          <w:szCs w:val="16"/>
        </w:rPr>
        <w:t xml:space="preserve"> i zgodnie z art. 139 ust. 1 Pzp.</w:t>
      </w:r>
    </w:p>
    <w:p w14:paraId="72C36CD3" w14:textId="059A4A7B" w:rsidR="00D0077A" w:rsidRPr="00D0077A" w:rsidRDefault="00D0077A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zastosuje w postępowaniu przetargowy tzw. procedurę odwróconą zgodnie z zasadami art. 139 Pzp.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0F2955F4" w14:textId="55E04860" w:rsidR="004E7287" w:rsidRPr="008D1212" w:rsidRDefault="00564B52" w:rsidP="008D121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8D1212">
        <w:rPr>
          <w:rFonts w:ascii="Verdana" w:hAnsi="Verdana"/>
          <w:sz w:val="16"/>
          <w:szCs w:val="16"/>
        </w:rPr>
        <w:t xml:space="preserve">Przedmiotem zamówienia jest </w:t>
      </w:r>
      <w:r w:rsidR="008D1212" w:rsidRPr="008D1212">
        <w:rPr>
          <w:rFonts w:ascii="Verdana" w:hAnsi="Verdana"/>
          <w:sz w:val="16"/>
          <w:szCs w:val="16"/>
        </w:rPr>
        <w:t>usługa prania bielizny szpitalnej zgodnie z obowiązującymi przepisami w ilości 6 000 kg miesięcznie dotyczy asortymentu Zamawiającego oraz dzierżawionego od Wykonawcy z wyłączeniem nakładki na MOP oraz materacy rozliczanych w formie płatności za sztukę zgodnie załącznikiem nr 5 do SWZ</w:t>
      </w:r>
      <w:bookmarkStart w:id="1" w:name="_Hlk224112071"/>
      <w:r w:rsidR="008D1212" w:rsidRPr="008D1212">
        <w:rPr>
          <w:rFonts w:ascii="Verdana" w:hAnsi="Verdana"/>
          <w:sz w:val="16"/>
          <w:szCs w:val="16"/>
        </w:rPr>
        <w:t xml:space="preserve"> </w:t>
      </w:r>
      <w:r w:rsidR="004E7287" w:rsidRPr="008D1212">
        <w:rPr>
          <w:rFonts w:ascii="Verdana" w:hAnsi="Verdana"/>
          <w:sz w:val="16"/>
          <w:szCs w:val="16"/>
        </w:rPr>
        <w:t xml:space="preserve">oraz </w:t>
      </w:r>
      <w:r w:rsidR="004E7287" w:rsidRPr="008D1212">
        <w:rPr>
          <w:rFonts w:ascii="Verdana" w:eastAsia="Calibri" w:hAnsi="Verdana" w:cs="Calibri"/>
          <w:sz w:val="16"/>
          <w:szCs w:val="16"/>
          <w:lang w:val="pl" w:eastAsia="pl-PL"/>
        </w:rPr>
        <w:t>świadczenie na rzecz Zamawiającego:</w:t>
      </w:r>
    </w:p>
    <w:p w14:paraId="4E7921BD" w14:textId="5C32BABE" w:rsidR="008D1212" w:rsidRDefault="008D1212" w:rsidP="008D1212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d</w:t>
      </w:r>
      <w:r w:rsidR="004E7287" w:rsidRPr="008D1212">
        <w:rPr>
          <w:rFonts w:ascii="Verdana" w:eastAsia="Calibri" w:hAnsi="Verdana" w:cs="Calibri"/>
          <w:sz w:val="16"/>
          <w:szCs w:val="16"/>
          <w:lang w:val="pl" w:eastAsia="pl-PL"/>
        </w:rPr>
        <w:t>ostawy, instalacji, uruchomienia niezbędnej infrastruktury, urządzeń do obsługi systemu radiowej identyfikacji bielizny i odzieży RFID</w:t>
      </w:r>
    </w:p>
    <w:p w14:paraId="1073CCEE" w14:textId="7F9E83B6" w:rsidR="004E7287" w:rsidRPr="008D1212" w:rsidRDefault="008D1212" w:rsidP="008D1212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w</w:t>
      </w:r>
      <w:r w:rsidR="004E7287" w:rsidRPr="008D1212">
        <w:rPr>
          <w:rFonts w:ascii="Verdana" w:eastAsia="Calibri" w:hAnsi="Verdana" w:cs="Calibri"/>
          <w:sz w:val="16"/>
          <w:szCs w:val="16"/>
          <w:lang w:val="pl" w:eastAsia="pl-PL"/>
        </w:rPr>
        <w:t>ynajem bielizny szpitalnej tj. poszwy, poszewki, prześcieradeł, kocy, poduszek, bielizny operacyjnej.</w:t>
      </w:r>
      <w:bookmarkEnd w:id="1"/>
    </w:p>
    <w:p w14:paraId="45899283" w14:textId="77777777" w:rsidR="004E7287" w:rsidRPr="004E7287" w:rsidRDefault="004E7287" w:rsidP="008D1212">
      <w:pPr>
        <w:spacing w:line="360" w:lineRule="auto"/>
        <w:ind w:left="284"/>
        <w:contextualSpacing/>
        <w:jc w:val="center"/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</w:pPr>
      <w:r w:rsidRPr="004E7287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Usługa prania bielizny szpitalnej</w:t>
      </w:r>
    </w:p>
    <w:p w14:paraId="49C69371" w14:textId="77777777" w:rsidR="004E7287" w:rsidRPr="004E7287" w:rsidRDefault="004E7287" w:rsidP="004E7287">
      <w:pPr>
        <w:spacing w:line="360" w:lineRule="auto"/>
        <w:ind w:left="284"/>
        <w:contextualSpacing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</w:p>
    <w:p w14:paraId="0FC27DAD" w14:textId="5DF12D20" w:rsidR="004E7287" w:rsidRPr="004E7287" w:rsidRDefault="004E7287" w:rsidP="008D1212">
      <w:pPr>
        <w:numPr>
          <w:ilvl w:val="0"/>
          <w:numId w:val="51"/>
        </w:numPr>
        <w:spacing w:after="0" w:line="360" w:lineRule="auto"/>
        <w:ind w:left="567" w:hanging="283"/>
        <w:contextualSpacing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Do bielizny szpitalnej objętej przedmiotem zamówienia zalicza się: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poszwa na koc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poszewka na poduszkę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prześcieradło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koc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poduszka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poszewka typu Jaś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ścierka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ręcznik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bluza medyczna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spodnie medyczne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bluza piżama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spodnie piżama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>,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 xml:space="preserve"> koszulka pacjenta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spodnie pacjenta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poduszka typu Jaś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nakładka na mop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parawan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worek na stelaż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szlafrok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, </w:t>
      </w: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materace wraz z pokrowcami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>.</w:t>
      </w:r>
    </w:p>
    <w:p w14:paraId="335BFEFC" w14:textId="77777777" w:rsidR="004E7287" w:rsidRPr="004E7287" w:rsidRDefault="004E7287" w:rsidP="004E7287">
      <w:pPr>
        <w:numPr>
          <w:ilvl w:val="0"/>
          <w:numId w:val="51"/>
        </w:numPr>
        <w:spacing w:after="0" w:line="360" w:lineRule="auto"/>
        <w:ind w:left="567" w:hanging="283"/>
        <w:contextualSpacing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Usługa prania obejmuje:</w:t>
      </w:r>
    </w:p>
    <w:p w14:paraId="520AD156" w14:textId="77777777" w:rsidR="008D1212" w:rsidRDefault="004E7287" w:rsidP="008D121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8D1212">
        <w:rPr>
          <w:rFonts w:ascii="Verdana" w:eastAsia="Calibri" w:hAnsi="Verdana" w:cs="Calibri"/>
          <w:sz w:val="16"/>
          <w:szCs w:val="16"/>
          <w:lang w:val="pl" w:eastAsia="pl-PL"/>
        </w:rPr>
        <w:t>pranie, suszenie, maglowanie lub prasowanie, krochmalenie, składanie oraz sortowanie bielizny szpitalnej, pakowanie oraz transportowanie do Zamawiającego,</w:t>
      </w:r>
    </w:p>
    <w:p w14:paraId="6B58E348" w14:textId="77777777" w:rsidR="008D1212" w:rsidRDefault="004E7287" w:rsidP="008D121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8D1212">
        <w:rPr>
          <w:rFonts w:ascii="Verdana" w:eastAsia="Calibri" w:hAnsi="Verdana" w:cs="Calibri"/>
          <w:sz w:val="16"/>
          <w:szCs w:val="16"/>
          <w:lang w:val="pl" w:eastAsia="pl-PL"/>
        </w:rPr>
        <w:t>dezynfekcji materacy w komorze dezynfekcji, poduszek, kołder, koców i innego asortymentu,</w:t>
      </w:r>
    </w:p>
    <w:p w14:paraId="511F4D37" w14:textId="77777777" w:rsidR="008D1212" w:rsidRDefault="008D1212" w:rsidP="008D121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p</w:t>
      </w:r>
      <w:r w:rsidR="004E7287" w:rsidRPr="008D1212">
        <w:rPr>
          <w:rFonts w:ascii="Verdana" w:eastAsia="Calibri" w:hAnsi="Verdana" w:cs="Calibri"/>
          <w:sz w:val="16"/>
          <w:szCs w:val="16"/>
          <w:lang w:val="pl" w:eastAsia="pl-PL"/>
        </w:rPr>
        <w:t>ranie i dezynfekcję materacy przy użyciu urządzeń przeznaczonych do tego celu. Materace dezynfekuje się w przelotowych automatycznych komorach dezynfekujących wmontowanych w barierę higieniczną, wyposażonych w systemy programowania, monitorowania, rejestrowania i wydruku parametrów procesu dezynfekcji. Czyste i skutecznie wysuszone materace transportuje się z pralni do miejsca używania w szczelnych tj. zamkniętych opakowaniach</w:t>
      </w:r>
      <w:r>
        <w:rPr>
          <w:rFonts w:ascii="Verdana" w:eastAsia="Calibri" w:hAnsi="Verdana" w:cs="Calibri"/>
          <w:sz w:val="16"/>
          <w:szCs w:val="16"/>
          <w:lang w:val="pl" w:eastAsia="pl-PL"/>
        </w:rPr>
        <w:t>,</w:t>
      </w:r>
    </w:p>
    <w:p w14:paraId="72C3E092" w14:textId="77777777" w:rsidR="00EF3482" w:rsidRDefault="004E7287" w:rsidP="00EF348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8D1212">
        <w:rPr>
          <w:rFonts w:ascii="Verdana" w:eastAsia="Calibri" w:hAnsi="Verdana" w:cs="Calibri"/>
          <w:sz w:val="16"/>
          <w:szCs w:val="16"/>
          <w:lang w:val="pl" w:eastAsia="pl-PL"/>
        </w:rPr>
        <w:t>sortowanie i pakowanie czystej bielizny najpierw w worki foliowe a następnie w wytrzymałe worki płócienne wielokrotnego użytku przydzielone do poszczególnych oddziałów Zamawiającego w następujący sposób: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  <w:r w:rsidRPr="008D1212">
        <w:rPr>
          <w:rFonts w:ascii="Verdana" w:eastAsia="Calibri" w:hAnsi="Verdana" w:cs="Calibri"/>
          <w:sz w:val="16"/>
          <w:szCs w:val="16"/>
          <w:lang w:val="pl" w:eastAsia="pl-PL"/>
        </w:rPr>
        <w:t>poszwa na koc – 5 sztuk w opakowaniu,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  <w:r w:rsidRPr="008D1212">
        <w:rPr>
          <w:rFonts w:ascii="Verdana" w:eastAsia="Calibri" w:hAnsi="Verdana" w:cs="Calibri"/>
          <w:sz w:val="16"/>
          <w:szCs w:val="16"/>
          <w:lang w:val="pl" w:eastAsia="pl-PL"/>
        </w:rPr>
        <w:t>prześcieradło – 5 sztuk w opakowaniu,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  <w:r w:rsidRPr="008D1212">
        <w:rPr>
          <w:rFonts w:ascii="Verdana" w:eastAsia="Calibri" w:hAnsi="Verdana" w:cs="Calibri"/>
          <w:sz w:val="16"/>
          <w:szCs w:val="16"/>
          <w:lang w:val="pl" w:eastAsia="pl-PL"/>
        </w:rPr>
        <w:lastRenderedPageBreak/>
        <w:t>poszewka na poduszkę – 10 sztuk w opakowaniu,</w:t>
      </w:r>
      <w:r w:rsidR="008D1212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  <w:r w:rsidRPr="008D1212">
        <w:rPr>
          <w:rFonts w:ascii="Verdana" w:eastAsia="Calibri" w:hAnsi="Verdana" w:cs="Calibri"/>
          <w:sz w:val="16"/>
          <w:szCs w:val="16"/>
          <w:lang w:val="pl" w:eastAsia="pl-PL"/>
        </w:rPr>
        <w:t>podkłady – 10 sztuk w opakowaniu,</w:t>
      </w:r>
      <w:r w:rsidR="00EF3482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odzież operacyjna - w odrębnym worku,</w:t>
      </w:r>
      <w:r w:rsidR="00EF3482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koce, kołdry, poduszki, mopy, itp., każdy asortyment w odrębnym worku,</w:t>
      </w:r>
    </w:p>
    <w:p w14:paraId="079F86A3" w14:textId="77777777" w:rsidR="00EF3482" w:rsidRDefault="00EF3482" w:rsidP="00EF348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o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dbiór brudnej bielizny ze strefy brudnej, potwierdzone wydrukowanym raportem z systemu i podpisem upoważnionej osoby od Zamawiającego. Odbiór odbywa się w poniedziałki, środy i piątki od godziny 09:00 do godziny 13:00. Asortyment przygotowany w wózkach transportowych,</w:t>
      </w:r>
    </w:p>
    <w:p w14:paraId="4076386F" w14:textId="77777777" w:rsidR="00EF3482" w:rsidRDefault="00EF3482" w:rsidP="00EF348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b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ielizna zakaźna powinna być transportowana oddzielnie od innej brudnej bielizny. Bielizna zakaźna umieszczona w czerwonych rozpuszczalnych workach, na czas transportu powinna być umieszczona w zamykanych, odpornych na uszkodzenia mechaniczne czerwonych pojemnikach</w:t>
      </w:r>
      <w:r>
        <w:rPr>
          <w:rFonts w:ascii="Verdana" w:eastAsia="Calibri" w:hAnsi="Verdana" w:cs="Calibri"/>
          <w:sz w:val="16"/>
          <w:szCs w:val="16"/>
          <w:lang w:val="pl" w:eastAsia="pl-PL"/>
        </w:rPr>
        <w:t>,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</w:p>
    <w:p w14:paraId="5C8D5AF2" w14:textId="77777777" w:rsidR="00EF3482" w:rsidRDefault="00EF3482" w:rsidP="00EF348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p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ojemniki i wózki do transportu bielizny poddaje się myciu i dezynfekcji przed każdym przewozem czystej bielizny lub po każdym przewozie brudnej bielizny.</w:t>
      </w:r>
    </w:p>
    <w:p w14:paraId="1FFE16D2" w14:textId="77777777" w:rsidR="00EF3482" w:rsidRPr="00EF3482" w:rsidRDefault="00EF3482" w:rsidP="00EF348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d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o pralni bieliznę "do" i "z" przewozi się w pojemnikach zamykanych lub wózkach wyposażonych w pokrowce tekstylne nie przepuszczające wilgoci. Przy pralni powinno być urządzone wydzielone stanowisko przeznaczone wyłącznie do mycia i dezynfekowania</w:t>
      </w:r>
      <w:r w:rsidR="004E7287" w:rsidRPr="00EF3482">
        <w:rPr>
          <w:rFonts w:ascii="Verdana" w:eastAsia="Calibri" w:hAnsi="Verdana" w:cs="Calibri"/>
          <w:spacing w:val="40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pojazdów używanych do przewozu bielizny. Pojazdy do transportu bielizny powinny być zamykane. Wnętrze powierzchnie pojazdów muszą być łatwe do mycia, czyszczenia i dezynfekcji. Czystą</w:t>
      </w:r>
      <w:r w:rsidR="004E7287" w:rsidRPr="00EF3482">
        <w:rPr>
          <w:rFonts w:ascii="Verdana" w:eastAsia="Calibri" w:hAnsi="Verdana" w:cs="Calibri"/>
          <w:spacing w:val="-5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pościel</w:t>
      </w:r>
      <w:r w:rsidR="004E7287" w:rsidRPr="00EF3482">
        <w:rPr>
          <w:rFonts w:ascii="Verdana" w:eastAsia="Calibri" w:hAnsi="Verdana" w:cs="Calibri"/>
          <w:spacing w:val="-5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należy</w:t>
      </w:r>
      <w:r w:rsidR="004E7287" w:rsidRPr="00EF3482">
        <w:rPr>
          <w:rFonts w:ascii="Verdana" w:eastAsia="Calibri" w:hAnsi="Verdana" w:cs="Calibri"/>
          <w:spacing w:val="-5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pakować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w</w:t>
      </w:r>
      <w:r w:rsidR="004E7287" w:rsidRPr="00EF3482">
        <w:rPr>
          <w:rFonts w:ascii="Verdana" w:eastAsia="Calibri" w:hAnsi="Verdana" w:cs="Calibri"/>
          <w:spacing w:val="-1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pralni</w:t>
      </w:r>
      <w:r w:rsidR="004E7287" w:rsidRPr="00EF3482">
        <w:rPr>
          <w:rFonts w:ascii="Verdana" w:eastAsia="Calibri" w:hAnsi="Verdana" w:cs="Calibri"/>
          <w:spacing w:val="-3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z</w:t>
      </w:r>
      <w:r w:rsidR="004E7287" w:rsidRPr="00EF3482">
        <w:rPr>
          <w:rFonts w:ascii="Verdana" w:eastAsia="Calibri" w:hAnsi="Verdana" w:cs="Calibri"/>
          <w:spacing w:val="-3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podziałem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na</w:t>
      </w:r>
      <w:r w:rsidR="004E7287" w:rsidRPr="00EF3482">
        <w:rPr>
          <w:rFonts w:ascii="Verdana" w:eastAsia="Calibri" w:hAnsi="Verdana" w:cs="Calibri"/>
          <w:spacing w:val="-2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oddziały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pacing w:val="-2"/>
          <w:sz w:val="16"/>
          <w:szCs w:val="16"/>
          <w:lang w:val="pl" w:eastAsia="pl-PL"/>
        </w:rPr>
        <w:t>szpitalne</w:t>
      </w:r>
      <w:r>
        <w:rPr>
          <w:rFonts w:ascii="Verdana" w:eastAsia="Calibri" w:hAnsi="Verdana" w:cs="Calibri"/>
          <w:spacing w:val="-2"/>
          <w:sz w:val="16"/>
          <w:szCs w:val="16"/>
          <w:lang w:val="pl" w:eastAsia="pl-PL"/>
        </w:rPr>
        <w:t>,</w:t>
      </w:r>
    </w:p>
    <w:p w14:paraId="5FF0629E" w14:textId="77777777" w:rsidR="00EF3482" w:rsidRDefault="00EF3482" w:rsidP="00EF348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pacing w:val="-2"/>
          <w:sz w:val="16"/>
          <w:szCs w:val="16"/>
          <w:lang w:val="pl" w:eastAsia="pl-PL"/>
        </w:rPr>
        <w:t>d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ostawa czystej bielizny do strefy czystej, potwierdzona wydrukowanym raportem z systemu i podpisem upoważnionej osoby od Zamawiającego. Dostawa odbywa w poniedziałki, środy i piątki do godziny 06:00,</w:t>
      </w:r>
    </w:p>
    <w:p w14:paraId="5E47B286" w14:textId="77777777" w:rsidR="00EF3482" w:rsidRDefault="00EF3482" w:rsidP="00EF348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d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ystrybucja na i z oddziałów odbywa się transportem Zamawiającego,</w:t>
      </w:r>
    </w:p>
    <w:p w14:paraId="1A186AB7" w14:textId="77777777" w:rsidR="00EF3482" w:rsidRDefault="00EF3482" w:rsidP="00EF348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m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aksymalny czas wykonania usługi do 48 godzin licząc od momentu odbioru brudnej bielizny, w przypadku materacy, koców, poduszek, dopuszcza się realizację usługi do 72 godzin,</w:t>
      </w:r>
    </w:p>
    <w:p w14:paraId="6FF7919E" w14:textId="127AAC19" w:rsidR="004E7287" w:rsidRPr="00EF3482" w:rsidRDefault="00EF3482" w:rsidP="00EF3482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c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zas realizacji zgłoszenia reklamacji lub naprawy wynosi maksymalnie 7 dni od chwili zgłoszenia. Wykonawca będzie na bieżąco informował Zamawiającego o ilości bielizny pozostawionej do naprawy lub odplamiania</w:t>
      </w:r>
      <w:r>
        <w:rPr>
          <w:rFonts w:ascii="Verdana" w:eastAsia="Calibri" w:hAnsi="Verdana" w:cs="Calibri"/>
          <w:sz w:val="16"/>
          <w:szCs w:val="16"/>
          <w:lang w:val="pl" w:eastAsia="pl-PL"/>
        </w:rPr>
        <w:t>.</w:t>
      </w:r>
    </w:p>
    <w:p w14:paraId="079A3EF5" w14:textId="77777777" w:rsidR="004E7287" w:rsidRPr="004E7287" w:rsidRDefault="004E7287" w:rsidP="00EF3482">
      <w:pPr>
        <w:numPr>
          <w:ilvl w:val="0"/>
          <w:numId w:val="51"/>
        </w:numPr>
        <w:spacing w:after="0" w:line="360" w:lineRule="auto"/>
        <w:ind w:left="567" w:hanging="283"/>
        <w:contextualSpacing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Przedmiot zamówienia obejmuje także:</w:t>
      </w:r>
    </w:p>
    <w:p w14:paraId="56ABE8D4" w14:textId="77777777" w:rsidR="00EF3482" w:rsidRDefault="004E7287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Z</w:t>
      </w:r>
    </w:p>
    <w:p w14:paraId="12CD614D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z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 xml:space="preserve">apewnienie w cenie usługi odpowiedniej ilości worków płóciennych oraz worków foliowych, a także koszy transportowych lub wózków do składowania bielizny brudnej oraz czystej (szacowana ilość koszy/wózków – 8 szt.). Worki płócienne przeznaczone do bielizny powinny być wielokrotnego użytku, odpowiednio oznakowane haftem identyfikującym dany oddział oraz w kolorze przypisanym do konkretnego budynku, zgodnie z przyjętym systemem rozróżniającym 19 komórek i 5 budynków. Zamawiający ustali wzór z Wykonawcą po podpisaniu umowy, </w:t>
      </w:r>
    </w:p>
    <w:p w14:paraId="371D5710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d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odatkowo należy zapewnić wytrzymałe worki foliowe przeznaczone na asortyment typu „Nakładka na MOP” oraz czerwone rozpuszczalne worki foliowe przeznaczone do bielizny zakaźnej,</w:t>
      </w:r>
    </w:p>
    <w:p w14:paraId="138C8E3E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z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apewnienie przez Wykonawcę czerwonych pojemników na bieliznę zakaźną wytrzymałą na uszkodzenia mechaniczne,</w:t>
      </w:r>
    </w:p>
    <w:p w14:paraId="06E039ED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s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tosowania środków piorących i dezynfekcyjnych zgodnie z zaleceniami PZH, posiadających odpowiednie świadectwa i certyfikaty, gwarantujące właściwą jakość prania nie powodując przyspieszonego zużycia bielizny. Pranie winno odbywać się zgodnie z wymogami obowiązującymi w służbie zdrowia ze szczególnym uwzględnieniem zaleceń dotyczących Szpitala, zastosowania oddzielnych cykli prania bielizny pochodzących z oddziałów i bloków operacyjnych,</w:t>
      </w:r>
    </w:p>
    <w:p w14:paraId="0E874A1B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p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reparaty dezynfekcyjne używane w praniu powinny być wpisane do Rejestru Wyrobów Medycznych i Produktów Biobójczych</w:t>
      </w:r>
      <w:r>
        <w:rPr>
          <w:rFonts w:ascii="Verdana" w:eastAsia="Calibri" w:hAnsi="Verdana" w:cs="Calibri"/>
          <w:sz w:val="16"/>
          <w:szCs w:val="16"/>
          <w:lang w:val="pl" w:eastAsia="pl-PL"/>
        </w:rPr>
        <w:t>,</w:t>
      </w:r>
    </w:p>
    <w:p w14:paraId="39E0D065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p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onoszenie odpowiedzialności za utratę lub uszkodzenie rzeczy będących przedmiotem zamówienia,</w:t>
      </w:r>
    </w:p>
    <w:p w14:paraId="424A6A5B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p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onoszenie odpowiedzialności za właściwą i terminową realizacje przedmiotu zamówienia wobec Zamawiającego i kontroli zewnętrznej,</w:t>
      </w:r>
    </w:p>
    <w:p w14:paraId="7E98379C" w14:textId="02278C9F" w:rsidR="004E7287" w:rsidRPr="00EF3482" w:rsidRDefault="004E7287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lastRenderedPageBreak/>
        <w:t>dostarczenie Zespołowi Kontroli Zakażeń Szpitalnych wyników badań mikrobiologicznych w następujących terminach:</w:t>
      </w:r>
    </w:p>
    <w:p w14:paraId="05E6D263" w14:textId="77777777" w:rsidR="00EF3482" w:rsidRDefault="004E7287" w:rsidP="00EF3482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w trakcie trwania postępowania na wezwanie Zamawiającego (dotyczy koszy i wózków transportowych);</w:t>
      </w:r>
    </w:p>
    <w:p w14:paraId="03D398F6" w14:textId="77777777" w:rsidR="00EF3482" w:rsidRDefault="004E7287" w:rsidP="00EF3482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w dniu podpisania umowy (dotyczy koszy i wózków transportowych);</w:t>
      </w:r>
    </w:p>
    <w:p w14:paraId="20ADB926" w14:textId="77777777" w:rsidR="00EF3482" w:rsidRDefault="004E7287" w:rsidP="00EF3482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raz na kwartał w terminie do 30. dnia każdego ostatniego miesiąca kwartału (dotyczy bielizny czystej, koszy i wózków transportowych);</w:t>
      </w:r>
    </w:p>
    <w:p w14:paraId="32EEA836" w14:textId="31EB0864" w:rsidR="004E7287" w:rsidRPr="00EF3482" w:rsidRDefault="004E7287" w:rsidP="00EF3482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na każde żądanie Zamawiającego w przypadku uzasadnionych podejrzeń wystąpienia zakażenia (dotyczy bielizny czystej, koszy i wózków transportowych).</w:t>
      </w:r>
    </w:p>
    <w:p w14:paraId="08B7F304" w14:textId="1691AEF4" w:rsidR="004E7287" w:rsidRP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w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ykonywanie na koszt Wykonawcy w sytuacji zagrożenia epidemiologicznego na zlecenie Zamawiającego badań mikrobiologicznych bielizny czystej zgodnie z następującymi ustaleniami:</w:t>
      </w:r>
    </w:p>
    <w:p w14:paraId="73BBE678" w14:textId="77777777" w:rsidR="00EF3482" w:rsidRDefault="00EF3482" w:rsidP="00EF3482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p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róbki do badania będą pobierane przez Wykonawcę na wniosek i w obecności członków Zespołu Kontroli Zakażeń Szpitalnych,</w:t>
      </w:r>
    </w:p>
    <w:p w14:paraId="6A9B2980" w14:textId="77777777" w:rsidR="00EF3482" w:rsidRDefault="00EF3482" w:rsidP="00EF3482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b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adania będą wykonane w pracowni mikrobiologicznej uzgodnionej z Zamawiającym,</w:t>
      </w:r>
    </w:p>
    <w:p w14:paraId="38749173" w14:textId="5D941054" w:rsidR="004E7287" w:rsidRPr="00EF3482" w:rsidRDefault="00EF3482" w:rsidP="00EF3482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w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yniki badań mikrobiologicznych będą interpretowane i oceniane przez Zespół Kontroli Zakażeń Szpitalnych,</w:t>
      </w:r>
    </w:p>
    <w:p w14:paraId="4E9F454C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p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rzestrzeganie standardów i procedur higienicznych podczas prania i transportu bielizny,</w:t>
      </w:r>
    </w:p>
    <w:p w14:paraId="2F9313B6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p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rzestrzeganie ustalonych z Zamawiającym, godzin odbioru brudnej i dostawy czystej bielizny,</w:t>
      </w:r>
    </w:p>
    <w:p w14:paraId="2FAA3B54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p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onoszenie odpowiedzialności wobec organów kontroli za nieprzestrzeganie przepisów obowiązujących w zakresie wykonywania usługi, w szczególności zobowiązania do pokrycia kar pobieżnych nałożonych za naruszenie obowiązujących w tym zakresie norm,</w:t>
      </w:r>
    </w:p>
    <w:p w14:paraId="5B3C2161" w14:textId="77777777" w:rsidR="00EF3482" w:rsidRDefault="004E7287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Wykonawca zobowiązany jest do stosowania zaleceń pokontrolnych zewnętrznych organów kontroli w terminie wyznaczonym przez te organy lub Zamawiającego,</w:t>
      </w:r>
    </w:p>
    <w:p w14:paraId="2238B800" w14:textId="77777777" w:rsidR="00EF3482" w:rsidRDefault="004E7287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Wykonawca zobowiązany jest do stosowania zaleceń pokontrolnych Zespołu Kontroli Zakażeń Szpitalnych wynikających z przeprowadzonej kontroli wewnętrznej w terminie wyznaczonym przez Zamawiającego,</w:t>
      </w:r>
    </w:p>
    <w:p w14:paraId="6350A3CD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w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yznaczenie osoby do kontaktu z Zamawiającym w celu niezwłocznego reagowania na nienależytą realizację warunków SWZ zgłoszonych przez Zamawiającego,</w:t>
      </w:r>
    </w:p>
    <w:p w14:paraId="70265896" w14:textId="77777777" w:rsid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w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 xml:space="preserve"> przypadku zwiększonej liczby dni wolnych od pracy, strony uzgodnią termin wykonania usługi z trzydniowym wyprzedzeniem, celem zapewnienia ciągłości świadczonych usług.</w:t>
      </w:r>
    </w:p>
    <w:p w14:paraId="52D6969F" w14:textId="0A215314" w:rsidR="004E7287" w:rsidRPr="00EF3482" w:rsidRDefault="00EF3482" w:rsidP="00EF3482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p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omieszczenia</w:t>
      </w:r>
      <w:r w:rsidR="004E7287" w:rsidRPr="00EF3482">
        <w:rPr>
          <w:rFonts w:ascii="Verdana" w:eastAsia="Calibri" w:hAnsi="Verdana" w:cs="Calibri"/>
          <w:spacing w:val="-7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pralni</w:t>
      </w:r>
      <w:r w:rsidR="004E7287" w:rsidRPr="00EF3482">
        <w:rPr>
          <w:rFonts w:ascii="Verdana" w:eastAsia="Calibri" w:hAnsi="Verdana" w:cs="Calibri"/>
          <w:spacing w:val="-9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muszą</w:t>
      </w:r>
      <w:r w:rsidR="004E7287" w:rsidRPr="00EF3482">
        <w:rPr>
          <w:rFonts w:ascii="Verdana" w:eastAsia="Calibri" w:hAnsi="Verdana" w:cs="Calibri"/>
          <w:spacing w:val="-7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być</w:t>
      </w:r>
      <w:r w:rsidR="004E7287" w:rsidRPr="00EF3482">
        <w:rPr>
          <w:rFonts w:ascii="Verdana" w:eastAsia="Calibri" w:hAnsi="Verdana" w:cs="Calibri"/>
          <w:spacing w:val="-9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podzielone</w:t>
      </w:r>
      <w:r w:rsidR="004E7287" w:rsidRPr="00EF3482">
        <w:rPr>
          <w:rFonts w:ascii="Verdana" w:eastAsia="Calibri" w:hAnsi="Verdana" w:cs="Calibri"/>
          <w:spacing w:val="-6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na</w:t>
      </w:r>
      <w:r w:rsidR="004E7287" w:rsidRPr="00EF3482">
        <w:rPr>
          <w:rFonts w:ascii="Verdana" w:eastAsia="Calibri" w:hAnsi="Verdana" w:cs="Calibri"/>
          <w:spacing w:val="-9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stronę</w:t>
      </w:r>
      <w:r w:rsidR="004E7287" w:rsidRPr="00EF3482">
        <w:rPr>
          <w:rFonts w:ascii="Verdana" w:eastAsia="Calibri" w:hAnsi="Verdana" w:cs="Calibri"/>
          <w:spacing w:val="-8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czystą</w:t>
      </w:r>
      <w:r w:rsidR="004E7287" w:rsidRPr="00EF3482">
        <w:rPr>
          <w:rFonts w:ascii="Verdana" w:eastAsia="Calibri" w:hAnsi="Verdana" w:cs="Calibri"/>
          <w:spacing w:val="-6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i</w:t>
      </w:r>
      <w:r w:rsidR="004E7287" w:rsidRPr="00EF3482">
        <w:rPr>
          <w:rFonts w:ascii="Verdana" w:eastAsia="Calibri" w:hAnsi="Verdana" w:cs="Calibri"/>
          <w:spacing w:val="-9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brudną</w:t>
      </w:r>
      <w:r w:rsidR="004E7287" w:rsidRPr="00EF3482">
        <w:rPr>
          <w:rFonts w:ascii="Verdana" w:eastAsia="Calibri" w:hAnsi="Verdana" w:cs="Calibri"/>
          <w:spacing w:val="-7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z</w:t>
      </w:r>
      <w:r w:rsidR="004E7287" w:rsidRPr="00EF3482">
        <w:rPr>
          <w:rFonts w:ascii="Verdana" w:eastAsia="Calibri" w:hAnsi="Verdana" w:cs="Calibri"/>
          <w:spacing w:val="-7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barierą</w:t>
      </w:r>
      <w:r w:rsidR="004E7287" w:rsidRPr="00EF3482">
        <w:rPr>
          <w:rFonts w:ascii="Verdana" w:eastAsia="Calibri" w:hAnsi="Verdana" w:cs="Calibri"/>
          <w:spacing w:val="-9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higieniczną.</w:t>
      </w:r>
      <w:r w:rsidR="004E7287" w:rsidRPr="00EF3482">
        <w:rPr>
          <w:rFonts w:ascii="Verdana" w:eastAsia="Calibri" w:hAnsi="Verdana" w:cs="Calibri"/>
          <w:spacing w:val="-7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Pralnice wyposażone powinny być w urządzenia kontrolujące parametry procesu prania i dezynfekcji. Bielizna ogólnoszpitalna powinna być przyjmowana zidentyfikowana w odpowiednio oznakowanych</w:t>
      </w:r>
      <w:r w:rsidR="004E7287" w:rsidRPr="00EF3482">
        <w:rPr>
          <w:rFonts w:ascii="Verdana" w:eastAsia="Calibri" w:hAnsi="Verdana" w:cs="Calibri"/>
          <w:spacing w:val="-6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opakowaniach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w</w:t>
      </w:r>
      <w:r w:rsidR="004E7287" w:rsidRPr="00EF3482">
        <w:rPr>
          <w:rFonts w:ascii="Verdana" w:eastAsia="Calibri" w:hAnsi="Verdana" w:cs="Calibri"/>
          <w:spacing w:val="-2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zamkniętych</w:t>
      </w:r>
      <w:r w:rsidR="004E7287" w:rsidRPr="00EF3482">
        <w:rPr>
          <w:rFonts w:ascii="Verdana" w:eastAsia="Calibri" w:hAnsi="Verdana" w:cs="Calibri"/>
          <w:spacing w:val="-3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i</w:t>
      </w:r>
      <w:r w:rsidR="004E7287" w:rsidRPr="00EF3482">
        <w:rPr>
          <w:rFonts w:ascii="Verdana" w:eastAsia="Calibri" w:hAnsi="Verdana" w:cs="Calibri"/>
          <w:spacing w:val="-3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nie</w:t>
      </w:r>
      <w:r w:rsidR="004E7287" w:rsidRPr="00EF3482">
        <w:rPr>
          <w:rFonts w:ascii="Verdana" w:eastAsia="Calibri" w:hAnsi="Verdana" w:cs="Calibri"/>
          <w:spacing w:val="-3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uszkodzonych.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W</w:t>
      </w:r>
      <w:r w:rsidR="004E7287" w:rsidRPr="00EF3482">
        <w:rPr>
          <w:rFonts w:ascii="Verdana" w:eastAsia="Calibri" w:hAnsi="Verdana" w:cs="Calibri"/>
          <w:spacing w:val="-3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zakładzie</w:t>
      </w:r>
      <w:r w:rsidR="004E7287" w:rsidRPr="00EF3482">
        <w:rPr>
          <w:rFonts w:ascii="Verdana" w:eastAsia="Calibri" w:hAnsi="Verdana" w:cs="Calibri"/>
          <w:spacing w:val="-3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pralniczym</w:t>
      </w:r>
      <w:r w:rsidR="004E7287" w:rsidRPr="00EF3482">
        <w:rPr>
          <w:rFonts w:ascii="Verdana" w:eastAsia="Calibri" w:hAnsi="Verdana" w:cs="Calibri"/>
          <w:spacing w:val="-2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powinna być przynajmniej jedna przelotowa pralnico - wirówka, tzw. pralnica higieniczna, zapewniająca możliwość prania z jednoczesną dezynfekcją, odwirowaniem, roztrząsaniem bielizny. Pranie z dezynfekcją</w:t>
      </w:r>
      <w:r w:rsidR="004E7287" w:rsidRPr="00EF3482">
        <w:rPr>
          <w:rFonts w:ascii="Verdana" w:eastAsia="Calibri" w:hAnsi="Verdana" w:cs="Calibri"/>
          <w:spacing w:val="-10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bielizny</w:t>
      </w:r>
      <w:r w:rsidR="004E7287" w:rsidRPr="00EF3482">
        <w:rPr>
          <w:rFonts w:ascii="Verdana" w:eastAsia="Calibri" w:hAnsi="Verdana" w:cs="Calibri"/>
          <w:spacing w:val="-7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zakaźnej</w:t>
      </w:r>
      <w:r w:rsidR="004E7287" w:rsidRPr="00EF3482">
        <w:rPr>
          <w:rFonts w:ascii="Verdana" w:eastAsia="Calibri" w:hAnsi="Verdana" w:cs="Calibri"/>
          <w:spacing w:val="-7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odbywać</w:t>
      </w:r>
      <w:r w:rsidR="004E7287" w:rsidRPr="00EF3482">
        <w:rPr>
          <w:rFonts w:ascii="Verdana" w:eastAsia="Calibri" w:hAnsi="Verdana" w:cs="Calibri"/>
          <w:spacing w:val="-9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się</w:t>
      </w:r>
      <w:r w:rsidR="004E7287" w:rsidRPr="00EF3482">
        <w:rPr>
          <w:rFonts w:ascii="Verdana" w:eastAsia="Calibri" w:hAnsi="Verdana" w:cs="Calibri"/>
          <w:spacing w:val="-10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może</w:t>
      </w:r>
      <w:r w:rsidR="004E7287" w:rsidRPr="00EF3482">
        <w:rPr>
          <w:rFonts w:ascii="Verdana" w:eastAsia="Calibri" w:hAnsi="Verdana" w:cs="Calibri"/>
          <w:spacing w:val="-7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tylko</w:t>
      </w:r>
      <w:r w:rsidR="004E7287" w:rsidRPr="00EF3482">
        <w:rPr>
          <w:rFonts w:ascii="Verdana" w:eastAsia="Calibri" w:hAnsi="Verdana" w:cs="Calibri"/>
          <w:spacing w:val="-6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technologią</w:t>
      </w:r>
      <w:r w:rsidR="004E7287" w:rsidRPr="00EF3482">
        <w:rPr>
          <w:rFonts w:ascii="Verdana" w:eastAsia="Calibri" w:hAnsi="Verdana" w:cs="Calibri"/>
          <w:spacing w:val="-8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prania</w:t>
      </w:r>
      <w:r w:rsidR="004E7287" w:rsidRPr="00EF3482">
        <w:rPr>
          <w:rFonts w:ascii="Verdana" w:eastAsia="Calibri" w:hAnsi="Verdana" w:cs="Calibri"/>
          <w:spacing w:val="-8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etapowego</w:t>
      </w:r>
      <w:r w:rsidR="004E7287" w:rsidRPr="00EF3482">
        <w:rPr>
          <w:rFonts w:ascii="Verdana" w:eastAsia="Calibri" w:hAnsi="Verdana" w:cs="Calibri"/>
          <w:spacing w:val="-6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w</w:t>
      </w:r>
      <w:r w:rsidR="004E7287" w:rsidRPr="00EF3482">
        <w:rPr>
          <w:rFonts w:ascii="Verdana" w:eastAsia="Calibri" w:hAnsi="Verdana" w:cs="Calibri"/>
          <w:spacing w:val="-7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bębnowych pralnico- wirówkach tzw. pralnicach higienicznych przeznaczonych wyłącznie do jednoczesnego prania</w:t>
      </w:r>
      <w:r w:rsidR="004E7287" w:rsidRPr="00EF3482">
        <w:rPr>
          <w:rFonts w:ascii="Verdana" w:eastAsia="Calibri" w:hAnsi="Verdana" w:cs="Calibri"/>
          <w:spacing w:val="-5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z</w:t>
      </w:r>
      <w:r w:rsidR="004E7287" w:rsidRPr="00EF3482">
        <w:rPr>
          <w:rFonts w:ascii="Verdana" w:eastAsia="Calibri" w:hAnsi="Verdana" w:cs="Calibri"/>
          <w:spacing w:val="-5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dezynfekcją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bielizny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zakaźnej.</w:t>
      </w:r>
      <w:r w:rsidR="004E7287" w:rsidRPr="00EF3482">
        <w:rPr>
          <w:rFonts w:ascii="Verdana" w:eastAsia="Calibri" w:hAnsi="Verdana" w:cs="Calibri"/>
          <w:spacing w:val="-5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Bielizna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skażona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powinna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być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prana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w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temp.</w:t>
      </w:r>
      <w:r w:rsidR="004E7287" w:rsidRPr="00EF3482">
        <w:rPr>
          <w:rFonts w:ascii="Verdana" w:eastAsia="Calibri" w:hAnsi="Verdana" w:cs="Calibri"/>
          <w:spacing w:val="-5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co</w:t>
      </w:r>
      <w:r w:rsidR="004E7287" w:rsidRPr="00EF3482">
        <w:rPr>
          <w:rFonts w:ascii="Verdana" w:eastAsia="Calibri" w:hAnsi="Verdana" w:cs="Calibri"/>
          <w:spacing w:val="-3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najmniej</w:t>
      </w:r>
      <w:r w:rsidR="004E7287" w:rsidRPr="00EF3482">
        <w:rPr>
          <w:rFonts w:ascii="Verdana" w:eastAsia="Calibri" w:hAnsi="Verdana" w:cs="Calibri"/>
          <w:spacing w:val="-4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93 stopni Celsjusza</w:t>
      </w:r>
      <w:r w:rsidR="004E7287" w:rsidRPr="00EF3482">
        <w:rPr>
          <w:rFonts w:ascii="Verdana" w:eastAsia="Calibri" w:hAnsi="Verdana" w:cs="Calibri"/>
          <w:spacing w:val="40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przez minimum 10 minut. Metoda chemiczno- termiczna dezynfekcji bielizny powinna być przeznaczona do prania z dezynfekcją tkanin wrażliwych na działanie temperatury. Preparaty przeznaczone do dezynfekcji chemiczno-termicznej bielizny ogólnoszpitalnej w procesie prania z dezynfekcją powinny wykazywać minimum działanie: bakteriobójcze, prątkobójcze, wirusobójcze i grzybobójcze. W pralnicach nie stosuje się środków piorących zawierających halogeny, w tym czterochloroetylen. Czystość mikrobiologiczną bielizny, wody, powierzchni, urządzeń pralni, pojemników do transportu bielizny, powietrza oraz próbek z dłoni pracowników podlega</w:t>
      </w:r>
      <w:r w:rsidR="004E7287" w:rsidRPr="00EF3482">
        <w:rPr>
          <w:rFonts w:ascii="Verdana" w:eastAsia="Calibri" w:hAnsi="Verdana" w:cs="Calibri"/>
          <w:spacing w:val="40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badaniu</w:t>
      </w:r>
      <w:r w:rsidR="004E7287" w:rsidRPr="00EF3482">
        <w:rPr>
          <w:rFonts w:ascii="Verdana" w:eastAsia="Calibri" w:hAnsi="Verdana" w:cs="Calibri"/>
          <w:spacing w:val="40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przez</w:t>
      </w:r>
      <w:r w:rsidR="004E7287" w:rsidRPr="00EF3482">
        <w:rPr>
          <w:rFonts w:ascii="Verdana" w:eastAsia="Calibri" w:hAnsi="Verdana" w:cs="Calibri"/>
          <w:spacing w:val="40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laboratorium</w:t>
      </w:r>
      <w:r w:rsidR="004E7287" w:rsidRPr="00EF3482">
        <w:rPr>
          <w:rFonts w:ascii="Verdana" w:eastAsia="Calibri" w:hAnsi="Verdana" w:cs="Calibri"/>
          <w:spacing w:val="40"/>
          <w:sz w:val="16"/>
          <w:szCs w:val="16"/>
          <w:lang w:val="pl" w:eastAsia="pl-PL"/>
        </w:rPr>
        <w:t xml:space="preserve"> </w:t>
      </w:r>
      <w:r w:rsidR="004E7287" w:rsidRPr="00EF3482">
        <w:rPr>
          <w:rFonts w:ascii="Verdana" w:eastAsia="Calibri" w:hAnsi="Verdana" w:cs="Calibri"/>
          <w:sz w:val="16"/>
          <w:szCs w:val="16"/>
          <w:lang w:val="pl" w:eastAsia="pl-PL"/>
        </w:rPr>
        <w:t>akredytowane.</w:t>
      </w:r>
    </w:p>
    <w:p w14:paraId="0D5D38DE" w14:textId="77777777" w:rsidR="004E7287" w:rsidRPr="004E7287" w:rsidRDefault="004E7287" w:rsidP="004E7287">
      <w:pPr>
        <w:tabs>
          <w:tab w:val="left" w:pos="993"/>
        </w:tabs>
        <w:spacing w:after="0" w:line="360" w:lineRule="auto"/>
        <w:ind w:left="851" w:hanging="425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</w:p>
    <w:p w14:paraId="4C5B4DBA" w14:textId="77777777" w:rsidR="004E7287" w:rsidRPr="004E7287" w:rsidRDefault="004E7287" w:rsidP="004E7287">
      <w:p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</w:p>
    <w:p w14:paraId="65C1B16F" w14:textId="77777777" w:rsidR="004E7287" w:rsidRPr="004E7287" w:rsidRDefault="004E7287" w:rsidP="00EF3482">
      <w:pPr>
        <w:spacing w:line="360" w:lineRule="auto"/>
        <w:ind w:left="284"/>
        <w:contextualSpacing/>
        <w:jc w:val="center"/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</w:pPr>
      <w:r w:rsidRPr="004E7287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lastRenderedPageBreak/>
        <w:t>Dostawa, instalacja, uruchomienia niezbędnej infrastruktury, urządzeń do obsługi systemu radiowej identyfikacji bielizny i odzieży RFID</w:t>
      </w:r>
    </w:p>
    <w:p w14:paraId="52C0D97F" w14:textId="77777777" w:rsidR="004E7287" w:rsidRPr="004E7287" w:rsidRDefault="004E7287" w:rsidP="00EF3482">
      <w:pPr>
        <w:spacing w:after="0" w:line="360" w:lineRule="auto"/>
        <w:jc w:val="center"/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</w:pPr>
    </w:p>
    <w:p w14:paraId="4B64C5BC" w14:textId="5031DA81" w:rsidR="004E7287" w:rsidRPr="00EF3482" w:rsidRDefault="004E7287" w:rsidP="00EF348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bookmarkStart w:id="2" w:name="_Hlk224551403"/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Tagi, chipy musza spełniać następujące wymagania:</w:t>
      </w:r>
    </w:p>
    <w:p w14:paraId="494B7D42" w14:textId="77777777" w:rsidR="00EF3482" w:rsidRDefault="004E7287" w:rsidP="00EF3482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nie posiadają własnego źródła zasilania,</w:t>
      </w:r>
    </w:p>
    <w:p w14:paraId="3CCA23C5" w14:textId="77777777" w:rsidR="00EF3482" w:rsidRDefault="004E7287" w:rsidP="00EF3482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 xml:space="preserve">wytrzymują </w:t>
      </w:r>
      <w:bookmarkStart w:id="3" w:name="_Hlk224551441"/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min. 200 cykli prania, suszenia, maglowania, prasowania i sterylizacji (prania w temp. 93 st. C),</w:t>
      </w:r>
      <w:bookmarkStart w:id="4" w:name="_Hlk224551453"/>
      <w:bookmarkEnd w:id="3"/>
    </w:p>
    <w:p w14:paraId="3E0353BF" w14:textId="77777777" w:rsidR="00EF3482" w:rsidRDefault="004E7287" w:rsidP="00EF3482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nie wywierają wpływu na rezonans magnetyczny,</w:t>
      </w:r>
      <w:bookmarkStart w:id="5" w:name="_Hlk224551463"/>
      <w:bookmarkEnd w:id="4"/>
    </w:p>
    <w:p w14:paraId="1937C23C" w14:textId="37AE8A7B" w:rsidR="004E7287" w:rsidRPr="00EF3482" w:rsidRDefault="004E7287" w:rsidP="00EF3482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EF3482">
        <w:rPr>
          <w:rFonts w:ascii="Verdana" w:eastAsia="Calibri" w:hAnsi="Verdana" w:cs="Calibri"/>
          <w:sz w:val="16"/>
          <w:szCs w:val="16"/>
          <w:lang w:val="pl" w:eastAsia="pl-PL"/>
        </w:rPr>
        <w:t>gwarantują bezpieczeństwo dla ludzi i sprzętu elektronicznego jak np.: rozrusznik serca, defibrylatory, diatermia, etc.</w:t>
      </w:r>
    </w:p>
    <w:bookmarkEnd w:id="5"/>
    <w:p w14:paraId="0B2342CE" w14:textId="77777777" w:rsidR="004E7287" w:rsidRPr="004E7287" w:rsidRDefault="004E7287" w:rsidP="004E7287">
      <w:pPr>
        <w:spacing w:after="0" w:line="360" w:lineRule="auto"/>
        <w:ind w:left="567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E7287">
        <w:rPr>
          <w:rFonts w:ascii="Verdana" w:eastAsia="Calibri" w:hAnsi="Verdana" w:cs="Calibri"/>
          <w:sz w:val="16"/>
          <w:szCs w:val="16"/>
          <w:lang w:val="pl" w:eastAsia="pl-PL"/>
        </w:rPr>
        <w:t>Ergonomiczny mobilny czytnik Rfid, umożliwiający szybkie i niezawodne skanowanie. Szeroki zakres odległości skanowania – 2 szt., wraz z jednostką komputerową i drukarką.</w:t>
      </w:r>
    </w:p>
    <w:p w14:paraId="62C6857E" w14:textId="3CDA86F6" w:rsidR="004E7287" w:rsidRPr="004706BD" w:rsidRDefault="004E7287" w:rsidP="004706BD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bookmarkStart w:id="6" w:name="_Hlk224551492"/>
      <w:bookmarkEnd w:id="2"/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Zakres obowiązków Wykonawcy oraz pozostałe wymagania dotyczące wdrożenia i obsługi bezdotykowego systemu RFID do monitorowania, ewidencjonowania bielizny i odzieży szpitalnej:</w:t>
      </w:r>
    </w:p>
    <w:bookmarkEnd w:id="6"/>
    <w:p w14:paraId="787740AE" w14:textId="77777777" w:rsidR="004706BD" w:rsidRDefault="004E7287" w:rsidP="004706BD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Wykonawca </w:t>
      </w:r>
      <w:bookmarkStart w:id="7" w:name="_Hlk224551526"/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na własny koszt zobowiązany jest do udzielenia na czas trwania umowy dostępu do aplikacji internetowej w jednostkach wskazanych przez Zamawiającego, umożliwiającego min. bieżące monitorowanie zdanej do prania bielizny brudnej, ilości bielizny będącej na stanie szpitala, ilości dostarczanej bielizny czystej itp. (z podziałem na poszczególne komórki organizacyjne i asortyment). Wykonawca zobowiązany jest w okresie wdrażania systemu oraz trwania umowy do bezpłatnej pełnej obsługi serwisowej całości systemu RFID, jak również do przeprowadzenia cyklu szkoleń w zakresie obsługi oprogramowania - w ilościach uzależnionych do potrzeb Zamawiającego</w:t>
      </w:r>
      <w:bookmarkEnd w:id="7"/>
      <w:r w:rsidR="004706BD">
        <w:rPr>
          <w:rFonts w:ascii="Verdana" w:eastAsia="Calibri" w:hAnsi="Verdana" w:cs="Calibri"/>
          <w:sz w:val="16"/>
          <w:szCs w:val="16"/>
          <w:lang w:val="pl" w:eastAsia="pl-PL"/>
        </w:rPr>
        <w:t>,</w:t>
      </w:r>
    </w:p>
    <w:p w14:paraId="4F6BF516" w14:textId="77777777" w:rsidR="004706BD" w:rsidRDefault="004706BD" w:rsidP="004706BD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w</w:t>
      </w:r>
      <w:r w:rsidR="004E7287"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 przypadku </w:t>
      </w:r>
      <w:bookmarkStart w:id="8" w:name="_Hlk224551537"/>
      <w:r w:rsidR="004E7287" w:rsidRPr="004706BD">
        <w:rPr>
          <w:rFonts w:ascii="Verdana" w:eastAsia="Calibri" w:hAnsi="Verdana" w:cs="Calibri"/>
          <w:sz w:val="16"/>
          <w:szCs w:val="16"/>
          <w:lang w:val="pl" w:eastAsia="pl-PL"/>
        </w:rPr>
        <w:t>bielizny oznakowanej tagami/chipami pralniczymi Wykonawca zobowiązany jest do monitorowania ilości wystąpień cykli prania,</w:t>
      </w:r>
      <w:bookmarkEnd w:id="8"/>
    </w:p>
    <w:p w14:paraId="6AA96780" w14:textId="77777777" w:rsidR="004706BD" w:rsidRDefault="004E7287" w:rsidP="004706BD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Wykonawca </w:t>
      </w:r>
      <w:bookmarkStart w:id="9" w:name="_Hlk224551547"/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przyjmując brudną bieliznę posiadająca tagi/chipy skanuje każdy asortyment przy użyciu urządzeń RFID wskazanych w zamówieniu i ewidencjonuje dla każdej komórki organizacyjnej</w:t>
      </w:r>
      <w:bookmarkEnd w:id="9"/>
      <w:r w:rsidR="004706BD">
        <w:rPr>
          <w:rFonts w:ascii="Verdana" w:eastAsia="Calibri" w:hAnsi="Verdana" w:cs="Calibri"/>
          <w:sz w:val="16"/>
          <w:szCs w:val="16"/>
          <w:lang w:val="pl" w:eastAsia="pl-PL"/>
        </w:rPr>
        <w:t>,</w:t>
      </w:r>
    </w:p>
    <w:p w14:paraId="59088FC1" w14:textId="77777777" w:rsidR="004706BD" w:rsidRDefault="004706BD" w:rsidP="004706BD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s</w:t>
      </w:r>
      <w:r w:rsidR="004E7287"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ystem </w:t>
      </w:r>
      <w:bookmarkStart w:id="10" w:name="_Hlk224551556"/>
      <w:r w:rsidR="004E7287" w:rsidRPr="004706BD">
        <w:rPr>
          <w:rFonts w:ascii="Verdana" w:eastAsia="Calibri" w:hAnsi="Verdana" w:cs="Calibri"/>
          <w:sz w:val="16"/>
          <w:szCs w:val="16"/>
          <w:lang w:val="pl" w:eastAsia="pl-PL"/>
        </w:rPr>
        <w:t>informatyczny na potrzeby pralni oraz Zamawiającego generuje łączne zestawienie ilościowo-asortymentowe przyjętej do Szpitala oraz przekazanej do pralni bielizny</w:t>
      </w:r>
      <w:bookmarkEnd w:id="10"/>
      <w:r>
        <w:rPr>
          <w:rFonts w:ascii="Verdana" w:eastAsia="Calibri" w:hAnsi="Verdana" w:cs="Calibri"/>
          <w:sz w:val="16"/>
          <w:szCs w:val="16"/>
          <w:lang w:val="pl" w:eastAsia="pl-PL"/>
        </w:rPr>
        <w:t>,</w:t>
      </w:r>
    </w:p>
    <w:p w14:paraId="7D84E447" w14:textId="77777777" w:rsidR="004706BD" w:rsidRDefault="004706BD" w:rsidP="004706BD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sz w:val="16"/>
          <w:szCs w:val="16"/>
          <w:lang w:val="pl" w:eastAsia="pl-PL"/>
        </w:rPr>
        <w:t>s</w:t>
      </w:r>
      <w:r w:rsidR="004E7287" w:rsidRPr="004706BD">
        <w:rPr>
          <w:rFonts w:ascii="Verdana" w:eastAsia="Calibri" w:hAnsi="Verdana" w:cs="Calibri"/>
          <w:sz w:val="16"/>
          <w:szCs w:val="16"/>
          <w:lang w:val="pl" w:eastAsia="pl-PL"/>
        </w:rPr>
        <w:t>ystem i</w:t>
      </w:r>
      <w:bookmarkStart w:id="11" w:name="_Hlk224551567"/>
      <w:r w:rsidR="004E7287" w:rsidRPr="004706BD">
        <w:rPr>
          <w:rFonts w:ascii="Verdana" w:eastAsia="Calibri" w:hAnsi="Verdana" w:cs="Calibri"/>
          <w:sz w:val="16"/>
          <w:szCs w:val="16"/>
          <w:lang w:val="pl" w:eastAsia="pl-PL"/>
        </w:rPr>
        <w:t>nformatyczny posiada możliwość generowania wydruku i generowania raportów na każdym etapie obiegu bielizny</w:t>
      </w:r>
      <w:bookmarkEnd w:id="11"/>
      <w:r>
        <w:rPr>
          <w:rFonts w:ascii="Verdana" w:eastAsia="Calibri" w:hAnsi="Verdana" w:cs="Calibri"/>
          <w:sz w:val="16"/>
          <w:szCs w:val="16"/>
          <w:lang w:val="pl" w:eastAsia="pl-PL"/>
        </w:rPr>
        <w:t>,</w:t>
      </w:r>
    </w:p>
    <w:p w14:paraId="0F000E7C" w14:textId="6E367FB6" w:rsidR="004E7287" w:rsidRPr="004706BD" w:rsidRDefault="004E7287" w:rsidP="004706BD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Zamawiający </w:t>
      </w:r>
      <w:bookmarkStart w:id="12" w:name="_Hlk224551586"/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zapewni Wykonawcy nieodpłatny dostęp do sieci Internet w celu zapewnienia online suport do poprawnego śledzenia obiegu asortymentu RFID niezbędne jest połączenie z serwerem Wykonawcy VPN</w:t>
      </w:r>
      <w:bookmarkEnd w:id="12"/>
      <w:r w:rsidR="004706BD">
        <w:rPr>
          <w:rFonts w:ascii="Verdana" w:eastAsia="Calibri" w:hAnsi="Verdana" w:cs="Calibri"/>
          <w:sz w:val="16"/>
          <w:szCs w:val="16"/>
          <w:lang w:val="pl" w:eastAsia="pl-PL"/>
        </w:rPr>
        <w:t>.</w:t>
      </w:r>
    </w:p>
    <w:p w14:paraId="50C22302" w14:textId="77777777" w:rsidR="004706BD" w:rsidRDefault="004E7287" w:rsidP="004706B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bookmarkStart w:id="13" w:name="_Hlk224551604"/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Przedmiot zamówienia obejmuje wdrożenie przez Wykonawcę w terminie wskazanym w umowie systemu RFID (tj. Radio Frequency Identification) poprzez jego zainstalowanie w magazynach bielizny brudnej i czystej znajdujących się na terenie Szpitala oraz wyposażenie</w:t>
      </w:r>
      <w:r w:rsidR="004706BD">
        <w:rPr>
          <w:rFonts w:ascii="Verdana" w:eastAsia="Calibri" w:hAnsi="Verdana" w:cs="Calibri"/>
          <w:sz w:val="16"/>
          <w:szCs w:val="16"/>
          <w:lang w:val="pl" w:eastAsia="pl-PL"/>
        </w:rPr>
        <w:t>,</w:t>
      </w: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  <w:r w:rsidR="004706BD" w:rsidRPr="004706BD">
        <w:rPr>
          <w:rFonts w:ascii="Verdana" w:eastAsia="Calibri" w:hAnsi="Verdana" w:cs="Calibri"/>
          <w:sz w:val="16"/>
          <w:szCs w:val="16"/>
          <w:lang w:val="pl" w:eastAsia="pl-PL"/>
        </w:rPr>
        <w:t>na czas trwania umowy</w:t>
      </w:r>
      <w:r w:rsidR="004706BD">
        <w:rPr>
          <w:rFonts w:ascii="Verdana" w:eastAsia="Calibri" w:hAnsi="Verdana" w:cs="Calibri"/>
          <w:sz w:val="16"/>
          <w:szCs w:val="16"/>
          <w:lang w:val="pl" w:eastAsia="pl-PL"/>
        </w:rPr>
        <w:t>,</w:t>
      </w:r>
      <w:r w:rsidR="004706BD"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 magazyn</w:t>
      </w:r>
      <w:r w:rsidR="004706BD">
        <w:rPr>
          <w:rFonts w:ascii="Verdana" w:eastAsia="Calibri" w:hAnsi="Verdana" w:cs="Calibri"/>
          <w:sz w:val="16"/>
          <w:szCs w:val="16"/>
          <w:lang w:val="pl" w:eastAsia="pl-PL"/>
        </w:rPr>
        <w:t>ów</w:t>
      </w:r>
      <w:r w:rsidR="004706BD"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 bielizny brudnej i czystej znajdujących się na terenie Szpitala </w:t>
      </w: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w 2 komputery, 2 drukarki i oprogramowanie oraz urządzenia (mobilny czytnik RFID - 2 sztuki) do bezdotykowego identyfikowania, liczenia i ewidencjonowania bielizny brudnej i czystej.</w:t>
      </w:r>
      <w:bookmarkEnd w:id="13"/>
    </w:p>
    <w:p w14:paraId="4D3930E6" w14:textId="77777777" w:rsidR="004706BD" w:rsidRDefault="004E7287" w:rsidP="004706B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Udostępnienie, na czas trwania umowy, oddziałom/komórkom organizacyjnym Zamawiającego dostępu on-line - poprzez aplikację internetową - do danych generowanych (wprowadzanych) do systemu RFID dotyczących obrotu bielizną oraz pozostałym asortymentem.</w:t>
      </w:r>
    </w:p>
    <w:p w14:paraId="07610A00" w14:textId="77777777" w:rsidR="004706BD" w:rsidRDefault="004E7287" w:rsidP="004706B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Wykonawca </w:t>
      </w:r>
      <w:bookmarkStart w:id="14" w:name="_Hlk224551646"/>
      <w:bookmarkStart w:id="15" w:name="_Hlk224551637"/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zobowiązuje się do oznaczenia bielizny najmowanej tagami/chipami UHF. Zamawiający wymaga, aby tagi/chip</w:t>
      </w:r>
      <w:r w:rsidR="004706BD">
        <w:rPr>
          <w:rFonts w:ascii="Verdana" w:eastAsia="Calibri" w:hAnsi="Verdana" w:cs="Calibri"/>
          <w:sz w:val="16"/>
          <w:szCs w:val="16"/>
          <w:lang w:val="pl" w:eastAsia="pl-PL"/>
        </w:rPr>
        <w:t>y</w:t>
      </w: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 były wszyte/ wklejone w każdą sztukę wynajmowanego asortymentu w sposób trwały, uniemożliwiający ich odczepienie się od bielizny podczas procesu użytkowania i prania</w:t>
      </w:r>
      <w:bookmarkEnd w:id="14"/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.</w:t>
      </w:r>
      <w:bookmarkEnd w:id="15"/>
    </w:p>
    <w:p w14:paraId="5E95DCDC" w14:textId="77777777" w:rsidR="004706BD" w:rsidRDefault="004E7287" w:rsidP="004706B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Wykonawca wraz z Zamawiającym </w:t>
      </w:r>
      <w:bookmarkStart w:id="16" w:name="_Hlk224551673"/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przeprowadzą w okresie 3 miesięcy od dnia zawarcia umowy inwentaryzację bielizny Zamawiającego i dokonają oceny jej stanu fizycznego</w:t>
      </w:r>
      <w:bookmarkEnd w:id="16"/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.</w:t>
      </w:r>
    </w:p>
    <w:p w14:paraId="06390353" w14:textId="77777777" w:rsidR="004706BD" w:rsidRDefault="004E7287" w:rsidP="004706B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Zamawiający </w:t>
      </w:r>
      <w:bookmarkStart w:id="17" w:name="_Hlk224551693"/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zastrzega, że bielizna będąca własnością Zamawiającego musi być oznakowana tagami/chipami tak aby była możliwa ich identyfikacja w zakresie asortymentu</w:t>
      </w:r>
      <w:bookmarkEnd w:id="17"/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.</w:t>
      </w:r>
    </w:p>
    <w:p w14:paraId="4A6721E6" w14:textId="77777777" w:rsidR="004706BD" w:rsidRPr="004706BD" w:rsidRDefault="004E7287" w:rsidP="004706B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lastRenderedPageBreak/>
        <w:t xml:space="preserve">Wykonawca dokona wszelkich przedsięwzięć mających na celu przygotowanie się do wykonywania umowy w pełnym zakresie, tak aby Wykonawca rozpoczął jej realizację </w:t>
      </w: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br/>
      </w:r>
      <w:r w:rsidRPr="004706BD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w dniu 15.06.2026 roku.</w:t>
      </w:r>
    </w:p>
    <w:p w14:paraId="34B731DC" w14:textId="77777777" w:rsidR="004706BD" w:rsidRDefault="004E7287" w:rsidP="004706B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 xml:space="preserve">Wykonawca zainstaluje i wdroży system RFID zgodnie z wymogami określonymi, tak aby system był w pełni funkcjonalny </w:t>
      </w:r>
      <w:r w:rsidRPr="004706BD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od dnia 15.06.2026 roku</w:t>
      </w: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.</w:t>
      </w:r>
    </w:p>
    <w:p w14:paraId="6CAE5199" w14:textId="56271756" w:rsidR="004E7287" w:rsidRPr="004706BD" w:rsidRDefault="004E7287" w:rsidP="004706B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4706BD">
        <w:rPr>
          <w:rFonts w:ascii="Verdana" w:eastAsia="Calibri" w:hAnsi="Verdana" w:cs="Calibri"/>
          <w:sz w:val="16"/>
          <w:szCs w:val="16"/>
          <w:lang w:val="pl" w:eastAsia="pl-PL"/>
        </w:rPr>
        <w:t>Wykonawca przeszkoli personel Zamawiającego z obsługi aplikacji i prawidłowego jej użytkowania co zostanie potwierdzone w protokole szkolenia.</w:t>
      </w:r>
    </w:p>
    <w:p w14:paraId="767D3D2F" w14:textId="77777777" w:rsidR="004E7287" w:rsidRPr="004E7287" w:rsidRDefault="004E7287" w:rsidP="004E7287">
      <w:p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</w:p>
    <w:p w14:paraId="293B70FD" w14:textId="79F160BE" w:rsidR="004E7287" w:rsidRPr="004E7287" w:rsidRDefault="004E7287" w:rsidP="001731CE">
      <w:pPr>
        <w:spacing w:line="360" w:lineRule="auto"/>
        <w:contextualSpacing/>
        <w:jc w:val="center"/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</w:pPr>
      <w:r w:rsidRPr="004E7287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Wynajem bielizny szpitalnej tj. poszwy, poszewki, prześcieradeł, kocy, poduszek, bielizny operacyjnej</w:t>
      </w:r>
    </w:p>
    <w:p w14:paraId="686A6403" w14:textId="77777777" w:rsidR="004E7287" w:rsidRPr="004E7287" w:rsidRDefault="004E7287" w:rsidP="004E7287">
      <w:p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</w:p>
    <w:p w14:paraId="24CCFC85" w14:textId="77777777" w:rsidR="001731CE" w:rsidRDefault="004E7287" w:rsidP="001731CE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Świadczenie oferowanych usług odbywać się będzie w warunkach gwarantujących spełnienie wszelkich wymagań prawnych w tym technologicznych i sanitarnych warunkujących pełną skuteczność świadczonej usługi.</w:t>
      </w:r>
    </w:p>
    <w:p w14:paraId="0F5B5196" w14:textId="55C294A2" w:rsidR="004E7287" w:rsidRPr="001731CE" w:rsidRDefault="004E7287" w:rsidP="001731CE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Pralnia musi posiadać:</w:t>
      </w:r>
    </w:p>
    <w:p w14:paraId="5F7F60AB" w14:textId="77777777" w:rsidR="001731CE" w:rsidRDefault="004E7287" w:rsidP="001731CE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pralnice o parametrach i funkcjach wskazanych w Ministra Zdrowia w zakresie prawidłowego funkcjonowania pralni dla podmiotów świadczących usługi pralnicze na rzecz podmiotów wykonujących działalność leczniczą z dnia 09 listopada 2022 roku, które stanowi załączniku do umowy,</w:t>
      </w:r>
    </w:p>
    <w:p w14:paraId="569DEC62" w14:textId="77777777" w:rsidR="001731CE" w:rsidRDefault="004E7287" w:rsidP="001731CE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oddzielne pralnice tunelowe zakończone wirówką lub prasą do prania wodnego dla bielizny płaskiej,</w:t>
      </w:r>
    </w:p>
    <w:p w14:paraId="6B5EEED9" w14:textId="77777777" w:rsidR="001731CE" w:rsidRDefault="004E7287" w:rsidP="001731CE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urządzenia do mycia i dezynfekcji wózków transportowych,</w:t>
      </w:r>
    </w:p>
    <w:p w14:paraId="42C2A2C8" w14:textId="77777777" w:rsidR="001731CE" w:rsidRDefault="004E7287" w:rsidP="001731CE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punkt mycia i dezynfekcji samochodów,</w:t>
      </w:r>
    </w:p>
    <w:p w14:paraId="40142233" w14:textId="77777777" w:rsidR="001731CE" w:rsidRDefault="004E7287" w:rsidP="001731CE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barierę higieniczną, czyli całkowite wyeliminowanie stykania się bielizny czystej z brudną pracowników obsługujących te dwie strefy oraz stosuje technologię przystosowaną do prania bielizny szpitalnej,</w:t>
      </w:r>
    </w:p>
    <w:p w14:paraId="6C330EA1" w14:textId="385F6E38" w:rsidR="004E7287" w:rsidRPr="001731CE" w:rsidRDefault="004E7287" w:rsidP="001731CE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stosować wysokiej jakości środki piorące i dezynfekujące dopuszczone do obrotu zgodnie z obowiązującymi przepisami, nie powodujące odczynów alergicznych oraz niszczenia pranej bielizny (środki dezynfekcyjne – wpisane do Rejestru Produktów Biobójczych),</w:t>
      </w:r>
    </w:p>
    <w:p w14:paraId="52C9EE18" w14:textId="77777777" w:rsidR="001731CE" w:rsidRDefault="004E7287" w:rsidP="001731CE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Pranie bielizny szpitalnej i odzieży ochronnej oraz jej naprawa przez Wykonawcę odbywać się będzie w pralni Wykonawcy</w:t>
      </w:r>
      <w:r w:rsidR="001731CE">
        <w:rPr>
          <w:rFonts w:ascii="Verdana" w:eastAsia="Calibri" w:hAnsi="Verdana" w:cs="Calibri"/>
          <w:sz w:val="16"/>
          <w:szCs w:val="16"/>
          <w:lang w:val="pl" w:eastAsia="pl-PL"/>
        </w:rPr>
        <w:t>.</w:t>
      </w:r>
    </w:p>
    <w:p w14:paraId="23774915" w14:textId="77777777" w:rsidR="001731CE" w:rsidRDefault="004E7287" w:rsidP="001731CE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Wykonawcy przysługuje prawo do kontroli bielizny oraz warunków jej przechowywania. Termin kontroli musi być uzgodniony z Zamawiającym z co najmniej 7–dniowym wyprzedzeniem.</w:t>
      </w:r>
    </w:p>
    <w:p w14:paraId="525B8BF4" w14:textId="77777777" w:rsidR="001731CE" w:rsidRDefault="004E7287" w:rsidP="001731CE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Wykonawca przyjmuje na siebie ryzyko naturalnego ubytku dzierżawionego asortymentu w trakcie realizacji umowy. Dopuszczalny poziom ubytku wynosi do 2% rocznie w stosunku do liczby dzierżawionych sztuk asortymentu znajdujących się w obiegu. Ubytek ten obejmuje w szczególności zagubienie lub zniszczenie asortymentu wynikające z normalnej eksploatacji w trakcie użytkowania na oddziałach Zamawiającego i nie stanowi podstawy do obciążania Zamawiającego kosztami jego odtworzenia.</w:t>
      </w:r>
    </w:p>
    <w:p w14:paraId="2FC3C17B" w14:textId="7641B8CD" w:rsidR="004E7287" w:rsidRPr="001731CE" w:rsidRDefault="004E7287" w:rsidP="001731CE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sz w:val="16"/>
          <w:szCs w:val="16"/>
          <w:lang w:val="pl" w:eastAsia="pl-PL"/>
        </w:rPr>
        <w:t>Wymagania minimalne dotyczące bielizny pościelowej</w:t>
      </w:r>
    </w:p>
    <w:p w14:paraId="4FFCCD9A" w14:textId="77777777" w:rsidR="001731CE" w:rsidRDefault="001731CE" w:rsidP="001731CE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bookmarkStart w:id="18" w:name="_Hlk224111981"/>
      <w:r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p</w:t>
      </w:r>
      <w:r w:rsidR="004E7287"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oszwa na koc</w:t>
      </w:r>
      <w:r w:rsidR="004E7287" w:rsidRPr="001731CE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  <w:r w:rsidR="004E7287"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(140 x 220 cm)</w:t>
      </w:r>
      <w:r w:rsidR="004E7287" w:rsidRPr="001731CE">
        <w:rPr>
          <w:rFonts w:ascii="Verdana" w:eastAsia="Calibri" w:hAnsi="Verdana" w:cs="Calibri"/>
          <w:sz w:val="16"/>
          <w:szCs w:val="16"/>
          <w:lang w:val="pl" w:eastAsia="pl-PL"/>
        </w:rPr>
        <w:t xml:space="preserve"> biała lub dwukolorowa w prążki lub paski. Gramatura tkaniny maksymalnie 130-140 g/m², o składzie 40%-60% bawełny, 40%-60% poliestru. Powłoka i powłoczka w kształcie worka (bez zakładek i guzików), dwustronna – bez konieczności przewracania na lewą stronę. Na górnym szwie zamocowania uniemożliwiające wysunięcie się kołdry/koca. Każda sztuka wyrobu zaopatrzona w chip pozwalający na kontrolę rotacji wyrobu między szpitalem a pralnią, umożliwiający zbieranie informacji o kolejnych cyklach prania. Wynajmowane wyroby pościelowe muszą być wykonane z tkanin spełniających normy CEN/TS 14237:2021 - "Tekstylia dla placówek opieki zdrowotnej i socjalnej"</w:t>
      </w:r>
      <w:bookmarkStart w:id="19" w:name="_Hlk224111991"/>
      <w:bookmarkEnd w:id="18"/>
      <w:r>
        <w:rPr>
          <w:rFonts w:ascii="Verdana" w:eastAsia="Calibri" w:hAnsi="Verdana" w:cs="Calibri"/>
          <w:sz w:val="16"/>
          <w:szCs w:val="16"/>
          <w:lang w:val="pl" w:eastAsia="pl-PL"/>
        </w:rPr>
        <w:t>,</w:t>
      </w:r>
    </w:p>
    <w:p w14:paraId="16A6CDEE" w14:textId="77777777" w:rsidR="001731CE" w:rsidRDefault="001731CE" w:rsidP="001731CE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lastRenderedPageBreak/>
        <w:t>p</w:t>
      </w:r>
      <w:r w:rsidR="004E7287"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oszewka na poduszkę</w:t>
      </w:r>
      <w:r w:rsidR="004E7287" w:rsidRPr="001731CE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  <w:r w:rsidR="004E7287"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(70 x 80 cm)</w:t>
      </w:r>
      <w:r w:rsidR="004E7287" w:rsidRPr="001731CE">
        <w:rPr>
          <w:rFonts w:ascii="Verdana" w:eastAsia="Calibri" w:hAnsi="Verdana" w:cs="Calibri"/>
          <w:sz w:val="16"/>
          <w:szCs w:val="16"/>
          <w:lang w:val="pl" w:eastAsia="pl-PL"/>
        </w:rPr>
        <w:t xml:space="preserve"> biała lub dwukolorowa w prążki lub paski. Gramatura tkaniny maksymalnie 130-140 g/m², o składzie 40%-60% bawełny, 40%-60% poliestru. Powłoka i powłoczka w kształcie worka (bez zakładek i guzików), dwustronna – bez konieczności przewracania na lewą stronę. Na górnym szwie zamocowania uniemożliwiające wysunięcie się kołdry/koca. Każda sztuka wyrobu zaopatrzona w chip pozwalający na kontrolę rotacji wyrobu między szpitalem a pralnią, umożliwiający zbieranie informacji o kolejnych cyklach prania. Wynajmowane wyroby pościelowe muszą być wykonane z tkanin spełniających normy CEN/TS 14237:2021 - "Tekstylia dla placówek opieki zdrowotnej i socjalnej"</w:t>
      </w:r>
      <w:bookmarkStart w:id="20" w:name="_Hlk224112011"/>
      <w:bookmarkEnd w:id="19"/>
      <w:r>
        <w:rPr>
          <w:rFonts w:ascii="Verdana" w:eastAsia="Calibri" w:hAnsi="Verdana" w:cs="Calibri"/>
          <w:sz w:val="16"/>
          <w:szCs w:val="16"/>
          <w:lang w:val="pl" w:eastAsia="pl-PL"/>
        </w:rPr>
        <w:t>,</w:t>
      </w:r>
    </w:p>
    <w:p w14:paraId="2D9C70DB" w14:textId="77777777" w:rsidR="001731CE" w:rsidRDefault="001731CE" w:rsidP="001731CE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p</w:t>
      </w:r>
      <w:r w:rsidR="004E7287"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rześcieradło (160 cm x 275 cm)</w:t>
      </w:r>
      <w:r w:rsidR="004E7287" w:rsidRPr="001731CE">
        <w:rPr>
          <w:rFonts w:ascii="Verdana" w:eastAsia="Calibri" w:hAnsi="Verdana" w:cs="Calibri"/>
          <w:sz w:val="16"/>
          <w:szCs w:val="16"/>
          <w:lang w:val="pl" w:eastAsia="pl-PL"/>
        </w:rPr>
        <w:t xml:space="preserve"> w kolorze białym wykonana z tkaniny o gramaturze 130-140 g/m², o składzie 40%-60% bawełny, 40%-60% poliestru. Każda sztuka wyrobu zaopatrzona w chip pozwalający na kontrolę rotacji wyrobu między szpitalem a pralnią, umożliwiający zbieranie informacji o kolejnych cyklach prania. Wynajmowane wyroby pościelowe muszą być wykonane z tkanin spełniających normy CEN/TS 14237:2015 - "Tekstylia dla placówek opieki zdrowotnej i socjalnej"</w:t>
      </w:r>
      <w:bookmarkStart w:id="21" w:name="_Hlk224112021"/>
      <w:bookmarkEnd w:id="20"/>
      <w:r>
        <w:rPr>
          <w:rFonts w:ascii="Verdana" w:eastAsia="Calibri" w:hAnsi="Verdana" w:cs="Calibri"/>
          <w:sz w:val="16"/>
          <w:szCs w:val="16"/>
          <w:lang w:val="pl" w:eastAsia="pl-PL"/>
        </w:rPr>
        <w:t>,</w:t>
      </w:r>
    </w:p>
    <w:p w14:paraId="3AB0E5EE" w14:textId="77777777" w:rsidR="001731CE" w:rsidRDefault="001731CE" w:rsidP="001731CE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k</w:t>
      </w:r>
      <w:r w:rsidR="004E7287"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oc - rozmiar 140 cm x 200 cm</w:t>
      </w:r>
      <w:r w:rsidR="004E7287" w:rsidRPr="001731CE">
        <w:rPr>
          <w:rFonts w:ascii="Verdana" w:eastAsia="Calibri" w:hAnsi="Verdana" w:cs="Calibri"/>
          <w:sz w:val="16"/>
          <w:szCs w:val="16"/>
          <w:lang w:val="pl" w:eastAsia="pl-PL"/>
        </w:rPr>
        <w:t xml:space="preserve"> - pokrycie – 100% poliester - temperatura prania do 40</w:t>
      </w:r>
      <w:r w:rsidR="004E7287" w:rsidRPr="001731CE">
        <w:rPr>
          <w:rFonts w:ascii="Verdana" w:eastAsia="Calibri" w:hAnsi="Verdana" w:cs="Calibri"/>
          <w:sz w:val="16"/>
          <w:szCs w:val="16"/>
          <w:vertAlign w:val="superscript"/>
          <w:lang w:val="pl" w:eastAsia="pl-PL"/>
        </w:rPr>
        <w:t>o</w:t>
      </w:r>
      <w:r w:rsidR="004E7287" w:rsidRPr="001731CE">
        <w:rPr>
          <w:rFonts w:ascii="Verdana" w:eastAsia="Calibri" w:hAnsi="Verdana" w:cs="Calibri"/>
          <w:sz w:val="16"/>
          <w:szCs w:val="16"/>
          <w:lang w:val="pl" w:eastAsia="pl-PL"/>
        </w:rPr>
        <w:t>C. Każda sztuka wyrobu zaopatrzona w chip pozwalający na kontrolę rotacji wyrobu między szpitalem a pralnią, umożliwiający zbieranie informacji o kolejnych cyklach prania. Gramatura m.in. 500 g/m</w:t>
      </w:r>
      <w:r w:rsidR="004E7287" w:rsidRPr="001731CE">
        <w:rPr>
          <w:rFonts w:ascii="Verdana" w:eastAsia="Calibri" w:hAnsi="Verdana" w:cs="Calibri"/>
          <w:sz w:val="16"/>
          <w:szCs w:val="16"/>
          <w:vertAlign w:val="superscript"/>
          <w:lang w:val="pl" w:eastAsia="pl-PL"/>
        </w:rPr>
        <w:t xml:space="preserve">2. </w:t>
      </w:r>
      <w:r w:rsidR="004E7287" w:rsidRPr="001731CE">
        <w:rPr>
          <w:rFonts w:ascii="Verdana" w:eastAsia="Calibri" w:hAnsi="Verdana" w:cs="Calibri"/>
          <w:sz w:val="16"/>
          <w:szCs w:val="16"/>
          <w:lang w:val="pl" w:eastAsia="pl-PL"/>
        </w:rPr>
        <w:t>Każda sztuka wyrobu zaopatrzona w chip pozwalający na kontrolę rotacji wyrobu między szpitalem a pralnią, umożliwiający zbieranie informacji o kolejnych cyklach prania. Wynajmowane wyroby pościelowe muszą być wykonane z tkanin spełniających normy CEN/TS 14237:2015 - "Tekstylia dla placówek opieki zdrowotnej i socjalnej"</w:t>
      </w:r>
      <w:r>
        <w:rPr>
          <w:rFonts w:ascii="Verdana" w:eastAsia="Calibri" w:hAnsi="Verdana" w:cs="Calibri"/>
          <w:sz w:val="16"/>
          <w:szCs w:val="16"/>
          <w:lang w:val="pl" w:eastAsia="pl-PL"/>
        </w:rPr>
        <w:t>,</w:t>
      </w:r>
      <w:bookmarkStart w:id="22" w:name="_Hlk224112030"/>
      <w:bookmarkEnd w:id="21"/>
    </w:p>
    <w:p w14:paraId="3E63D321" w14:textId="77777777" w:rsidR="00377120" w:rsidRDefault="001731CE" w:rsidP="00377120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p</w:t>
      </w:r>
      <w:r w:rsidR="004E7287"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oduszka</w:t>
      </w:r>
      <w:r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 xml:space="preserve"> </w:t>
      </w:r>
      <w:r w:rsidR="004E7287" w:rsidRPr="001731CE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- (70x80cm)</w:t>
      </w:r>
      <w:r w:rsidR="004E7287" w:rsidRPr="001731CE">
        <w:rPr>
          <w:rFonts w:ascii="Verdana" w:eastAsia="Calibri" w:hAnsi="Verdana" w:cs="Calibri"/>
          <w:sz w:val="16"/>
          <w:szCs w:val="16"/>
          <w:lang w:val="pl" w:eastAsia="pl-PL"/>
        </w:rPr>
        <w:t xml:space="preserve"> wypełnienie: włókno poliestrowe rurkowe silikonizowane – 30%, pianka poliuretanowa – 70%, obszycie: biała mikrofibra 100% poliestrowa o gramaturze 80g/m</w:t>
      </w:r>
      <w:r w:rsidR="004E7287" w:rsidRPr="001731CE">
        <w:rPr>
          <w:rFonts w:ascii="Verdana" w:eastAsia="Calibri" w:hAnsi="Verdana" w:cs="Calibri"/>
          <w:sz w:val="16"/>
          <w:szCs w:val="16"/>
          <w:vertAlign w:val="superscript"/>
          <w:lang w:val="pl" w:eastAsia="pl-PL"/>
        </w:rPr>
        <w:t>2</w:t>
      </w:r>
      <w:r w:rsidR="004E7287" w:rsidRPr="001731CE">
        <w:rPr>
          <w:rFonts w:ascii="Verdana" w:eastAsia="Calibri" w:hAnsi="Verdana" w:cs="Calibri"/>
          <w:sz w:val="16"/>
          <w:szCs w:val="16"/>
          <w:lang w:val="pl" w:eastAsia="pl-PL"/>
        </w:rPr>
        <w:t>, powinna nadawać się do prania wodnego, po procesie prania nie może występować zjawisko zbrylania (zbicia) granulatu, temperatura prania do 90</w:t>
      </w:r>
      <w:r w:rsidR="004E7287" w:rsidRPr="001731CE">
        <w:rPr>
          <w:rFonts w:ascii="Verdana" w:eastAsia="Calibri" w:hAnsi="Verdana" w:cs="Calibri"/>
          <w:sz w:val="16"/>
          <w:szCs w:val="16"/>
          <w:vertAlign w:val="superscript"/>
          <w:lang w:val="pl" w:eastAsia="pl-PL"/>
        </w:rPr>
        <w:t xml:space="preserve"> o</w:t>
      </w:r>
      <w:r w:rsidR="004E7287" w:rsidRPr="001731CE">
        <w:rPr>
          <w:rFonts w:ascii="Verdana" w:eastAsia="Calibri" w:hAnsi="Verdana" w:cs="Calibri"/>
          <w:sz w:val="16"/>
          <w:szCs w:val="16"/>
          <w:lang w:val="pl" w:eastAsia="pl-PL"/>
        </w:rPr>
        <w:t>C. Każda sztuka wyrobu zaopatrzona w chip pozwalający na kontrolę rotacji wyrobu między szpitalem a pralnią, umożliwiający zbieranie informacji o kolejnych cyklach prania</w:t>
      </w:r>
      <w:bookmarkStart w:id="23" w:name="_Hlk224112039"/>
      <w:bookmarkEnd w:id="22"/>
      <w:r w:rsidR="00377120">
        <w:rPr>
          <w:rFonts w:ascii="Verdana" w:eastAsia="Calibri" w:hAnsi="Verdana" w:cs="Calibri"/>
          <w:sz w:val="16"/>
          <w:szCs w:val="16"/>
          <w:lang w:val="pl" w:eastAsia="pl-PL"/>
        </w:rPr>
        <w:t>,</w:t>
      </w:r>
    </w:p>
    <w:p w14:paraId="4DE91537" w14:textId="7D75F020" w:rsidR="00377120" w:rsidRPr="00535FD8" w:rsidRDefault="00377120" w:rsidP="00377120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eastAsia="Calibri" w:hAnsi="Verdana" w:cs="Calibri"/>
          <w:sz w:val="16"/>
          <w:szCs w:val="16"/>
          <w:lang w:val="pl" w:eastAsia="pl-PL"/>
        </w:rPr>
      </w:pPr>
      <w:r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b</w:t>
      </w:r>
      <w:r w:rsidR="004E7287" w:rsidRPr="00377120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>luza medyczna i spodnie medyczne</w:t>
      </w:r>
      <w:r w:rsidR="004E7287" w:rsidRPr="00377120">
        <w:rPr>
          <w:rFonts w:ascii="Verdana" w:eastAsia="Calibri" w:hAnsi="Verdana" w:cs="Calibri"/>
          <w:sz w:val="16"/>
          <w:szCs w:val="16"/>
          <w:lang w:val="pl" w:eastAsia="pl-PL"/>
        </w:rPr>
        <w:t xml:space="preserve"> </w:t>
      </w:r>
      <w:r w:rsidR="004E7287" w:rsidRPr="00377120">
        <w:rPr>
          <w:rFonts w:ascii="Verdana" w:eastAsia="Calibri" w:hAnsi="Verdana" w:cs="Calibri"/>
          <w:b/>
          <w:bCs/>
          <w:sz w:val="16"/>
          <w:szCs w:val="16"/>
          <w:lang w:val="pl" w:eastAsia="pl-PL"/>
        </w:rPr>
        <w:t xml:space="preserve">w rozmiarach (S, M, L, XL, XXL) </w:t>
      </w:r>
      <w:r w:rsidR="004E7287" w:rsidRPr="00377120">
        <w:rPr>
          <w:rFonts w:ascii="Verdana" w:eastAsia="Calibri" w:hAnsi="Verdana" w:cs="Calibri"/>
          <w:sz w:val="16"/>
          <w:szCs w:val="16"/>
          <w:lang w:val="pl" w:eastAsia="pl-PL"/>
        </w:rPr>
        <w:t>– bluza z krótkim rękawem, luźna, z dekoltem na zakładkę, wkładana przez głowę, z przodu odcięty karczek, pod którym jest kieszeń z lewej strony. Kieszenie boczne na wysokości bioder, po bokach rozporki wzmocnione ryglami. Spodnie na gumkę, wiązane z przodu na troki. Ubranie chirurgiczne wielokrotnego użytku wykonane z tkaniny bawełniano-poliestrowej, o zawarto</w:t>
      </w:r>
      <w:r>
        <w:rPr>
          <w:rFonts w:ascii="Verdana" w:eastAsia="Calibri" w:hAnsi="Verdana" w:cs="Calibri"/>
          <w:sz w:val="16"/>
          <w:szCs w:val="16"/>
          <w:lang w:val="pl" w:eastAsia="pl-PL"/>
        </w:rPr>
        <w:t>ś</w:t>
      </w:r>
      <w:r w:rsidR="004E7287" w:rsidRPr="00377120">
        <w:rPr>
          <w:rFonts w:ascii="Verdana" w:eastAsia="Calibri" w:hAnsi="Verdana" w:cs="Calibri"/>
          <w:sz w:val="16"/>
          <w:szCs w:val="16"/>
          <w:lang w:val="pl" w:eastAsia="pl-PL"/>
        </w:rPr>
        <w:t>ci bawełny 48% +/- 3% Spandex 130g/m</w:t>
      </w:r>
      <w:r w:rsidR="004E7287" w:rsidRPr="00377120">
        <w:rPr>
          <w:rFonts w:ascii="Verdana" w:eastAsia="Calibri" w:hAnsi="Verdana" w:cs="Calibri"/>
          <w:sz w:val="16"/>
          <w:szCs w:val="16"/>
          <w:vertAlign w:val="superscript"/>
          <w:lang w:val="pl" w:eastAsia="pl-PL"/>
        </w:rPr>
        <w:t xml:space="preserve">2 </w:t>
      </w:r>
      <w:r w:rsidR="004E7287" w:rsidRPr="00377120">
        <w:rPr>
          <w:rFonts w:ascii="Verdana" w:eastAsia="Calibri" w:hAnsi="Verdana" w:cs="Calibri"/>
          <w:sz w:val="16"/>
          <w:szCs w:val="16"/>
          <w:lang w:val="pl" w:eastAsia="pl-PL"/>
        </w:rPr>
        <w:t>+/- 3%. Ubranie wykonane z tkaniny zgodnej z normą PN-EN 13795 z uwzględnieniem późniejszych zmian. Każda sztuka powinna zawierać haft szpitala z adnotacją konkretnego oddziału. Zamawiający ustali wzór z Wykonawcą po podpisaniu umowy. Każda sztuka wyrobu zaopatrzona w chip pozwalający na kontrolę rotacji wyrobu między szpitalem a pralnią, umożliwiający zbieranie informacji o kolejnych cyklach prania.</w:t>
      </w:r>
      <w:bookmarkEnd w:id="23"/>
    </w:p>
    <w:p w14:paraId="7A9B9CB5" w14:textId="3FA659AC" w:rsidR="00564B52" w:rsidRPr="00386738" w:rsidRDefault="00564B52" w:rsidP="00386738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86738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 w:rsidRPr="00386738">
        <w:rPr>
          <w:rFonts w:ascii="Verdana" w:hAnsi="Verdana"/>
          <w:sz w:val="16"/>
          <w:szCs w:val="16"/>
        </w:rPr>
        <w:t xml:space="preserve"> </w:t>
      </w:r>
    </w:p>
    <w:p w14:paraId="4A77F830" w14:textId="38AAB053" w:rsidR="004E7287" w:rsidRDefault="004E7287" w:rsidP="00386738">
      <w:pPr>
        <w:pStyle w:val="Akapitzlist"/>
        <w:spacing w:after="0"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98310000-9 U</w:t>
      </w:r>
      <w:r w:rsidRPr="004E7287">
        <w:rPr>
          <w:rFonts w:ascii="Verdana" w:hAnsi="Verdana"/>
          <w:b/>
          <w:bCs/>
          <w:sz w:val="16"/>
          <w:szCs w:val="16"/>
        </w:rPr>
        <w:t>sług</w:t>
      </w:r>
      <w:r>
        <w:rPr>
          <w:rFonts w:ascii="Verdana" w:hAnsi="Verdana"/>
          <w:b/>
          <w:bCs/>
          <w:sz w:val="16"/>
          <w:szCs w:val="16"/>
        </w:rPr>
        <w:t>a</w:t>
      </w:r>
      <w:r w:rsidRPr="004E7287">
        <w:rPr>
          <w:rFonts w:ascii="Verdana" w:hAnsi="Verdana"/>
          <w:b/>
          <w:bCs/>
          <w:sz w:val="16"/>
          <w:szCs w:val="16"/>
        </w:rPr>
        <w:t xml:space="preserve"> prania i czyszczenia na sucho</w:t>
      </w:r>
    </w:p>
    <w:p w14:paraId="1E9D2F2D" w14:textId="77777777" w:rsidR="004E7287" w:rsidRDefault="004E7287" w:rsidP="00386738">
      <w:pPr>
        <w:pStyle w:val="Akapitzlist"/>
        <w:spacing w:after="0"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 w:rsidRPr="004E7287">
        <w:rPr>
          <w:rFonts w:ascii="Verdana" w:hAnsi="Verdana"/>
          <w:b/>
          <w:bCs/>
          <w:sz w:val="16"/>
          <w:szCs w:val="16"/>
        </w:rPr>
        <w:t>98311000-6</w:t>
      </w:r>
      <w:r>
        <w:rPr>
          <w:rFonts w:ascii="Verdana" w:hAnsi="Verdana"/>
          <w:b/>
          <w:bCs/>
          <w:sz w:val="16"/>
          <w:szCs w:val="16"/>
        </w:rPr>
        <w:t xml:space="preserve"> O</w:t>
      </w:r>
      <w:r w:rsidRPr="004E7287">
        <w:rPr>
          <w:rFonts w:ascii="Verdana" w:hAnsi="Verdana"/>
          <w:b/>
          <w:bCs/>
          <w:sz w:val="16"/>
          <w:szCs w:val="16"/>
        </w:rPr>
        <w:t xml:space="preserve">dbieranie prania </w:t>
      </w:r>
    </w:p>
    <w:p w14:paraId="684B37AF" w14:textId="47E77430" w:rsidR="004E7287" w:rsidRDefault="004E7287" w:rsidP="00386738">
      <w:pPr>
        <w:pStyle w:val="Akapitzlist"/>
        <w:spacing w:after="0"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 w:rsidRPr="004E7287">
        <w:rPr>
          <w:rFonts w:ascii="Verdana" w:hAnsi="Verdana"/>
          <w:b/>
          <w:bCs/>
          <w:sz w:val="16"/>
          <w:szCs w:val="16"/>
        </w:rPr>
        <w:t xml:space="preserve">98311200-8 </w:t>
      </w:r>
      <w:r>
        <w:rPr>
          <w:rFonts w:ascii="Verdana" w:hAnsi="Verdana"/>
          <w:b/>
          <w:bCs/>
          <w:sz w:val="16"/>
          <w:szCs w:val="16"/>
        </w:rPr>
        <w:t>P</w:t>
      </w:r>
      <w:r w:rsidRPr="004E7287">
        <w:rPr>
          <w:rFonts w:ascii="Verdana" w:hAnsi="Verdana"/>
          <w:b/>
          <w:bCs/>
          <w:sz w:val="16"/>
          <w:szCs w:val="16"/>
        </w:rPr>
        <w:t>rowadzenie pralni</w:t>
      </w:r>
    </w:p>
    <w:p w14:paraId="1CDF419A" w14:textId="0FFD9980" w:rsidR="004E7287" w:rsidRDefault="004E7287" w:rsidP="00386738">
      <w:pPr>
        <w:pStyle w:val="Akapitzlist"/>
        <w:spacing w:after="0"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 w:rsidRPr="004E7287">
        <w:rPr>
          <w:rFonts w:ascii="Verdana" w:hAnsi="Verdana"/>
          <w:b/>
          <w:bCs/>
          <w:sz w:val="16"/>
          <w:szCs w:val="16"/>
        </w:rPr>
        <w:t xml:space="preserve">98315000-4 </w:t>
      </w:r>
      <w:r>
        <w:rPr>
          <w:rFonts w:ascii="Verdana" w:hAnsi="Verdana"/>
          <w:b/>
          <w:bCs/>
          <w:sz w:val="16"/>
          <w:szCs w:val="16"/>
        </w:rPr>
        <w:t>P</w:t>
      </w:r>
      <w:r w:rsidRPr="004E7287">
        <w:rPr>
          <w:rFonts w:ascii="Verdana" w:hAnsi="Verdana"/>
          <w:b/>
          <w:bCs/>
          <w:sz w:val="16"/>
          <w:szCs w:val="16"/>
        </w:rPr>
        <w:t>rasowanie</w:t>
      </w:r>
    </w:p>
    <w:p w14:paraId="238680BB" w14:textId="716ABE22" w:rsidR="004E7287" w:rsidRPr="00386738" w:rsidRDefault="00C43F53" w:rsidP="003867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86738">
        <w:rPr>
          <w:rFonts w:ascii="Verdana" w:hAnsi="Verdana"/>
          <w:sz w:val="16"/>
          <w:szCs w:val="16"/>
        </w:rPr>
        <w:t xml:space="preserve"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</w:t>
      </w:r>
      <w:r w:rsidRPr="00386738">
        <w:rPr>
          <w:rFonts w:ascii="Verdana" w:hAnsi="Verdana"/>
          <w:b/>
          <w:bCs/>
          <w:sz w:val="16"/>
          <w:szCs w:val="16"/>
        </w:rPr>
        <w:t>dopuszcza rozwiązania równoważne</w:t>
      </w:r>
      <w:r w:rsidRPr="00386738">
        <w:rPr>
          <w:rFonts w:ascii="Verdana" w:hAnsi="Verdana"/>
          <w:sz w:val="16"/>
          <w:szCs w:val="16"/>
        </w:rPr>
        <w:t>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A7A7977" w14:textId="66271D80" w:rsidR="00B7619D" w:rsidRDefault="00564B52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lastRenderedPageBreak/>
        <w:t xml:space="preserve">Wykonawca zobowiązany jest zrealizować przedmiot zamówienia w terminie </w:t>
      </w:r>
      <w:r w:rsidR="00386738">
        <w:rPr>
          <w:rFonts w:ascii="Verdana" w:hAnsi="Verdana"/>
          <w:sz w:val="16"/>
          <w:szCs w:val="16"/>
        </w:rPr>
        <w:t>48</w:t>
      </w:r>
      <w:r w:rsidRPr="00D11BA3">
        <w:rPr>
          <w:rFonts w:ascii="Verdana" w:hAnsi="Verdana"/>
          <w:sz w:val="16"/>
          <w:szCs w:val="16"/>
        </w:rPr>
        <w:t xml:space="preserve"> miesięcy od daty zawarcia umowy</w:t>
      </w:r>
      <w:r w:rsidR="00386738">
        <w:rPr>
          <w:rFonts w:ascii="Verdana" w:hAnsi="Verdana"/>
          <w:sz w:val="16"/>
          <w:szCs w:val="16"/>
        </w:rPr>
        <w:t xml:space="preserve"> tj. od 15.06.2026 r</w:t>
      </w:r>
      <w:r w:rsidR="003B0BA4">
        <w:rPr>
          <w:rFonts w:ascii="Verdana" w:hAnsi="Verdana"/>
          <w:sz w:val="16"/>
          <w:szCs w:val="16"/>
        </w:rPr>
        <w:t>.</w:t>
      </w:r>
    </w:p>
    <w:p w14:paraId="6667AD14" w14:textId="77777777" w:rsidR="00302288" w:rsidRDefault="00302288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1C9B52" w14:textId="462683A9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3022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3CF3ECF8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2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74D6C5A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6E687BAA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95D225E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44FC427F" w14:textId="77777777" w:rsidR="005261E1" w:rsidRPr="008C795C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3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1C8FCD8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4" w:anchor="postepowania-na-podst-ust-pzp" w:history="1">
        <w:r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56A0014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535D6059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40461D95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CE9C281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0ED7C5DA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</w:t>
      </w:r>
      <w:r w:rsidRPr="008C795C">
        <w:rPr>
          <w:rFonts w:ascii="Verdana" w:hAnsi="Verdana"/>
          <w:sz w:val="16"/>
          <w:szCs w:val="16"/>
        </w:rPr>
        <w:lastRenderedPageBreak/>
        <w:t xml:space="preserve">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6CE00C2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27FFCDAC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1B8205FF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62CB83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5CA2FE4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400BDE8" w14:textId="77777777" w:rsidR="005261E1" w:rsidRPr="008C795C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6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02E9D3C4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302288">
        <w:rPr>
          <w:rFonts w:ascii="Verdana" w:hAnsi="Verdana"/>
          <w:sz w:val="16"/>
          <w:szCs w:val="16"/>
        </w:rPr>
        <w:t xml:space="preserve">nie dłużej niż 90 </w:t>
      </w:r>
      <w:r w:rsidR="00FB1031" w:rsidRPr="00FB1031">
        <w:rPr>
          <w:rFonts w:ascii="Verdana" w:hAnsi="Verdana"/>
          <w:sz w:val="16"/>
          <w:szCs w:val="16"/>
        </w:rPr>
        <w:t xml:space="preserve">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4A9D774D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>W przypadku gdy wybór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302288">
        <w:rPr>
          <w:rFonts w:ascii="Verdana" w:hAnsi="Verdana"/>
          <w:sz w:val="16"/>
          <w:szCs w:val="16"/>
        </w:rPr>
        <w:t>6</w:t>
      </w:r>
      <w:r w:rsidRPr="00FB1031">
        <w:rPr>
          <w:rFonts w:ascii="Verdana" w:hAnsi="Verdana"/>
          <w:sz w:val="16"/>
          <w:szCs w:val="16"/>
        </w:rPr>
        <w:t>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65ABD5D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F1C0517" w14:textId="7DDFC821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60FC13FA" w14:textId="261BCAD7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A3890F1" w14:textId="3866CDF5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 w:rsidRPr="0097617D"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3060E072" w14:textId="64CDE78A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lastRenderedPageBreak/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0F8F4285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>
        <w:rPr>
          <w:rFonts w:ascii="Verdana" w:hAnsi="Verdana"/>
          <w:sz w:val="16"/>
          <w:szCs w:val="16"/>
        </w:rPr>
        <w:t>.</w:t>
      </w:r>
    </w:p>
    <w:p w14:paraId="05F7984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6997280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zaufanym9 lub podpisem osobistym, mogą być zgodnie z wyborem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7CA4D66" w14:textId="77777777" w:rsidR="005261E1" w:rsidRDefault="005261E1" w:rsidP="005261E1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37082509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E81A21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5E33FB5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0B3DE7D0" w14:textId="77777777" w:rsidR="005261E1" w:rsidRPr="005C0DFC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03F58369" w14:textId="27350679" w:rsidR="00992DAA" w:rsidRDefault="00EA747A" w:rsidP="00C602B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92DAA">
        <w:rPr>
          <w:rFonts w:ascii="Verdana" w:hAnsi="Verdana"/>
          <w:sz w:val="16"/>
          <w:szCs w:val="16"/>
        </w:rPr>
        <w:t xml:space="preserve">DO OFERTY NALEŻY DOŁĄCZYĆ </w:t>
      </w:r>
      <w:r w:rsidR="00C602B5" w:rsidRPr="00C602B5">
        <w:rPr>
          <w:rFonts w:ascii="Verdana" w:hAnsi="Verdana"/>
          <w:b/>
          <w:bCs/>
          <w:sz w:val="16"/>
          <w:szCs w:val="16"/>
        </w:rPr>
        <w:t>oświadczenie JEDZ</w:t>
      </w:r>
      <w:r w:rsidR="00C602B5" w:rsidRPr="00C602B5">
        <w:rPr>
          <w:rFonts w:ascii="Verdana" w:hAnsi="Verdana"/>
          <w:sz w:val="16"/>
          <w:szCs w:val="16"/>
        </w:rPr>
        <w:t xml:space="preserve"> - jednolity europejski dokument zamówienia</w:t>
      </w:r>
      <w:r w:rsidR="00C602B5">
        <w:rPr>
          <w:rFonts w:ascii="Verdana" w:hAnsi="Verdana"/>
          <w:sz w:val="16"/>
          <w:szCs w:val="16"/>
        </w:rPr>
        <w:t xml:space="preserve">. </w:t>
      </w:r>
      <w:r w:rsidR="00C602B5" w:rsidRPr="00C602B5">
        <w:rPr>
          <w:rFonts w:ascii="Verdana" w:hAnsi="Verdana"/>
          <w:sz w:val="16"/>
          <w:szCs w:val="16"/>
        </w:rPr>
        <w:t xml:space="preserve">Informacje zawarte w jednolitym dokumencie stanowią wstępne potwierdzenie, że Wykonawca </w:t>
      </w:r>
      <w:r w:rsidR="00C602B5" w:rsidRPr="00C602B5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="00C602B5" w:rsidRPr="00C602B5">
        <w:rPr>
          <w:rFonts w:ascii="Verdana" w:hAnsi="Verdana"/>
          <w:sz w:val="16"/>
          <w:szCs w:val="16"/>
        </w:rPr>
        <w:t>.</w:t>
      </w:r>
      <w:r w:rsidR="00C602B5">
        <w:rPr>
          <w:rFonts w:ascii="Verdana" w:hAnsi="Verdana"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>O</w:t>
      </w:r>
      <w:r w:rsidR="00564B52" w:rsidRPr="00C602B5">
        <w:rPr>
          <w:rFonts w:ascii="Verdana" w:hAnsi="Verdana"/>
          <w:sz w:val="16"/>
          <w:szCs w:val="16"/>
        </w:rPr>
        <w:t>świadczenie</w:t>
      </w:r>
      <w:r w:rsidR="00564B52" w:rsidRPr="00C602B5">
        <w:rPr>
          <w:rFonts w:ascii="Verdana" w:hAnsi="Verdana"/>
          <w:b/>
          <w:bCs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 xml:space="preserve">należy złożyć </w:t>
      </w:r>
      <w:r w:rsidR="00564B52" w:rsidRPr="00C602B5">
        <w:rPr>
          <w:rFonts w:ascii="Verdana" w:hAnsi="Verdana"/>
          <w:sz w:val="16"/>
          <w:szCs w:val="16"/>
        </w:rPr>
        <w:t>w postaci elektronicznej opatrzone kwalifikowanym podpisem elektronicznym, podpisem zaufanym lub podpisem osobistym, a następnie wraz z plikami stanowiącymi ofertę skompresować do jednego pliku archiwum (ZIP)</w:t>
      </w:r>
      <w:r w:rsidR="003C76E4">
        <w:rPr>
          <w:rFonts w:ascii="Verdana" w:hAnsi="Verdana"/>
          <w:sz w:val="16"/>
          <w:szCs w:val="16"/>
        </w:rPr>
        <w:t xml:space="preserve"> oraz </w:t>
      </w:r>
      <w:r w:rsidR="003C76E4" w:rsidRPr="003C76E4">
        <w:rPr>
          <w:rFonts w:ascii="Verdana" w:hAnsi="Verdana"/>
          <w:b/>
          <w:bCs/>
          <w:sz w:val="16"/>
          <w:szCs w:val="16"/>
        </w:rPr>
        <w:t>przedmiotowe środki dowodowe</w:t>
      </w:r>
      <w:r w:rsidR="00BC73BD">
        <w:rPr>
          <w:rFonts w:ascii="Verdana" w:hAnsi="Verdana"/>
          <w:b/>
          <w:bCs/>
          <w:sz w:val="16"/>
          <w:szCs w:val="16"/>
        </w:rPr>
        <w:t xml:space="preserve"> </w:t>
      </w:r>
      <w:r w:rsidR="00BC73BD" w:rsidRPr="00BC73BD">
        <w:rPr>
          <w:rFonts w:ascii="Verdana" w:hAnsi="Verdana"/>
          <w:sz w:val="16"/>
          <w:szCs w:val="16"/>
        </w:rPr>
        <w:t>(w przypadku zaoferowania rozwiązań równoważnych – innych niż określone w SWZ – do oferty należy dołączyć dokumenty potwierdzające, że zastosowane rozwiązania równoważne spełniają wymogi Zamawiającego np. opisy, karty katalogowe, karty techniczne)</w:t>
      </w:r>
      <w:r w:rsidR="003C76E4">
        <w:rPr>
          <w:rFonts w:ascii="Verdana" w:hAnsi="Verdana"/>
          <w:sz w:val="16"/>
          <w:szCs w:val="16"/>
        </w:rPr>
        <w:t xml:space="preserve">: </w:t>
      </w:r>
    </w:p>
    <w:p w14:paraId="3653C7D6" w14:textId="77777777" w:rsidR="00535FD8" w:rsidRPr="00535FD8" w:rsidRDefault="00535FD8" w:rsidP="00535FD8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lastRenderedPageBreak/>
        <w:t>aktualna pozytywna opinia sanitarna wydana przez Państwowy Powiatowy Inspektorat Sanitarno-Epidemiologiczny potwierdzająca, że pralnia w której będzie wykonywana usługa dla Zamawiającego stosuje środki piorąco - dezynfekujące posiadające odpowiednie atesty oraz posiada pełną barierę sanitarno-epidemiologiczną, komorę do dezynfekcji materacy i poduszek,</w:t>
      </w:r>
    </w:p>
    <w:p w14:paraId="47264019" w14:textId="77777777" w:rsidR="00535FD8" w:rsidRPr="00535FD8" w:rsidRDefault="00535FD8" w:rsidP="00535FD8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aktualna pozytywna opinia sanitarna wydana przez Państwowy Powiatowy Inspektorat Sanitarno-Epidemiologiczny, dopuszczająca transport specjalistyczny Wykonawcy do przewożenia bielizny szpitalnej,</w:t>
      </w:r>
    </w:p>
    <w:p w14:paraId="2175D361" w14:textId="77777777" w:rsidR="00535FD8" w:rsidRPr="00535FD8" w:rsidRDefault="00535FD8" w:rsidP="00535FD8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wyniki badań potwierdzających czystość mikrobiologiczną dla: materacy, pościeli ogólno- szpitalnej, fartuchów operacyjnych,</w:t>
      </w:r>
    </w:p>
    <w:p w14:paraId="403AF0FA" w14:textId="77777777" w:rsidR="00535FD8" w:rsidRPr="00535FD8" w:rsidRDefault="00535FD8" w:rsidP="00535FD8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aktualny certyfikat jakości normy ISO potwierdzający spełnianie standardów jakości,</w:t>
      </w:r>
    </w:p>
    <w:p w14:paraId="7279F9EC" w14:textId="6B5A4D69" w:rsidR="00535FD8" w:rsidRPr="00535FD8" w:rsidRDefault="00535FD8" w:rsidP="00535FD8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oświadczenie, iż pralnia Wykonawcy spełnia wymagania Rozporządzenia Ministra Zdrowia z dnia 10.11.2006 roku (Dz. U. nr 213, poz. 1568 a dnia 24.11.2006 roku)</w:t>
      </w:r>
      <w:r>
        <w:rPr>
          <w:rFonts w:ascii="Verdana" w:hAnsi="Verdana"/>
          <w:sz w:val="16"/>
          <w:szCs w:val="16"/>
        </w:rPr>
        <w:t xml:space="preserve"> oraz wytyczne Ministra Zdrowia w zakresie wymogów prawidłowego funkcjonowania pralni dla podmiotów świadczących usługi pralnicze na rzecz podmiotów świadczących usługi lecznicze (szpitali) z dnia 09.11.2022r. </w:t>
      </w:r>
    </w:p>
    <w:p w14:paraId="56A98DD0" w14:textId="42AE249A" w:rsidR="00564B52" w:rsidRPr="00A736F2" w:rsidRDefault="004842CC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PODLEGAJĄCE UZUPEŁNIENIU</w:t>
      </w:r>
      <w:r w:rsidR="00B66826">
        <w:rPr>
          <w:rFonts w:ascii="Verdana" w:hAnsi="Verdana"/>
          <w:sz w:val="16"/>
          <w:szCs w:val="16"/>
        </w:rPr>
        <w:t xml:space="preserve"> (podmiotowe środki dowodowe)</w:t>
      </w:r>
      <w:r w:rsidR="00EA747A" w:rsidRPr="00A736F2">
        <w:rPr>
          <w:rFonts w:ascii="Verdana" w:hAnsi="Verdana"/>
          <w:sz w:val="16"/>
          <w:szCs w:val="16"/>
        </w:rPr>
        <w:t xml:space="preserve">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7777777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6930CEBA" w14:textId="3BCAC37A" w:rsidR="00564B5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64B52" w:rsidRPr="00A736F2">
        <w:rPr>
          <w:rFonts w:ascii="Verdana" w:hAnsi="Verdana"/>
          <w:sz w:val="16"/>
          <w:szCs w:val="16"/>
        </w:rPr>
        <w:t>astępujące p</w:t>
      </w:r>
      <w:r w:rsidR="00EA747A">
        <w:rPr>
          <w:rFonts w:ascii="Verdana" w:hAnsi="Verdana"/>
          <w:sz w:val="16"/>
          <w:szCs w:val="16"/>
        </w:rPr>
        <w:t xml:space="preserve">odmiotowe </w:t>
      </w:r>
      <w:r w:rsidR="00564B52" w:rsidRPr="00A736F2">
        <w:rPr>
          <w:rFonts w:ascii="Verdana" w:hAnsi="Verdana"/>
          <w:sz w:val="16"/>
          <w:szCs w:val="16"/>
        </w:rPr>
        <w:t>środki dowodowe:</w:t>
      </w:r>
      <w:r w:rsidR="00D2239A">
        <w:rPr>
          <w:rFonts w:ascii="Verdana" w:hAnsi="Verdana"/>
          <w:sz w:val="16"/>
          <w:szCs w:val="16"/>
        </w:rPr>
        <w:t xml:space="preserve"> </w:t>
      </w:r>
    </w:p>
    <w:p w14:paraId="19BFED61" w14:textId="3A220E4C" w:rsidR="00BD284D" w:rsidRPr="00BD284D" w:rsidRDefault="00BD284D" w:rsidP="00BD284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D284D">
        <w:rPr>
          <w:rFonts w:ascii="Verdana" w:hAnsi="Verdana"/>
          <w:sz w:val="16"/>
          <w:szCs w:val="16"/>
        </w:rPr>
        <w:t>ktualny odpis z właściwego rejestru lub aktualne zaświadczenie o wpisie do ewidencji działalności gospodarczej, jeżeli odrębne przepisy wymagają wpisu do rejestru lub zgłoszenia ewidencji działalności gospodarczej – wystawiony nie wcześniej niż 6 miesięcy przed upływem terminu składania ofert</w:t>
      </w:r>
      <w:r>
        <w:rPr>
          <w:rFonts w:ascii="Verdana" w:hAnsi="Verdana"/>
          <w:sz w:val="16"/>
          <w:szCs w:val="16"/>
        </w:rPr>
        <w:t>,</w:t>
      </w:r>
    </w:p>
    <w:p w14:paraId="5341E4CF" w14:textId="7AD60FD0" w:rsidR="009E65C3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339CE">
        <w:rPr>
          <w:rFonts w:ascii="Verdana" w:hAnsi="Verdana"/>
          <w:sz w:val="16"/>
          <w:szCs w:val="16"/>
        </w:rPr>
        <w:t xml:space="preserve">ktualna informacja z Krajowego Rejestru Karnego w zakresie </w:t>
      </w:r>
      <w:r w:rsidR="009E65C3" w:rsidRPr="009E65C3">
        <w:rPr>
          <w:rFonts w:ascii="Verdana" w:hAnsi="Verdana"/>
          <w:sz w:val="16"/>
          <w:szCs w:val="16"/>
        </w:rPr>
        <w:t>w zakresie:</w:t>
      </w:r>
      <w:r w:rsidR="009E65C3">
        <w:rPr>
          <w:rFonts w:ascii="Verdana" w:hAnsi="Verdana"/>
          <w:sz w:val="16"/>
          <w:szCs w:val="16"/>
        </w:rPr>
        <w:t xml:space="preserve"> </w:t>
      </w:r>
      <w:r w:rsidR="009E65C3" w:rsidRPr="009E65C3">
        <w:rPr>
          <w:rFonts w:ascii="Verdana" w:hAnsi="Verdana"/>
          <w:sz w:val="16"/>
          <w:szCs w:val="16"/>
        </w:rPr>
        <w:t>art. 108 ust. 1 pkt 1 i 2 ustawy z dnia 11 września 2019 r. - Prawo zamówień publicznych, zwanej dalej "ustawą",</w:t>
      </w:r>
    </w:p>
    <w:p w14:paraId="662D3D0A" w14:textId="77777777" w:rsidR="009E65C3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>art. 108 ust. 1 pkt 4 ustawy, dotyczącej orzeczenia zakazu ubiegania się o zamówienie publiczne tytułem środka karnego,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a ustawy,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b ustawy, dotyczącej ukarania za wykroczenie, za które wymierzono karę aresztu,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3 ustawy, dotyczącej skazania za przestępstwo lub ukarania za wykroczenie, za które wymierzono karę aresztu</w:t>
      </w:r>
      <w:r>
        <w:rPr>
          <w:rFonts w:ascii="Verdana" w:hAnsi="Verdana"/>
          <w:sz w:val="16"/>
          <w:szCs w:val="16"/>
        </w:rPr>
        <w:t xml:space="preserve"> - </w:t>
      </w:r>
      <w:r w:rsidRPr="009E65C3">
        <w:rPr>
          <w:rFonts w:ascii="Verdana" w:hAnsi="Verdana"/>
          <w:sz w:val="16"/>
          <w:szCs w:val="16"/>
        </w:rPr>
        <w:t>sporządzonej nie wcześniej niż 6 miesięcy przed jej złożeniem</w:t>
      </w:r>
      <w:r>
        <w:rPr>
          <w:rFonts w:ascii="Verdana" w:hAnsi="Verdana"/>
          <w:sz w:val="16"/>
          <w:szCs w:val="16"/>
        </w:rPr>
        <w:t>,</w:t>
      </w:r>
    </w:p>
    <w:p w14:paraId="60188CA3" w14:textId="5671C8B2" w:rsidR="00E339CE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 xml:space="preserve">umowa spółki cywilnej (kserokopia potwierdzona za zgodność z oryginałem), jeśli składającym ofertę jest spółka cywilna, </w:t>
      </w:r>
    </w:p>
    <w:p w14:paraId="61A6AAAF" w14:textId="77777777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>informacji z Centralnego Rejestru Beneficjentów Rzeczywistych, w zakresie art. 108 ust. 2 ustawy, jeżeli odrębne przepisy wymagają wpisu do tego rejestru, sporządzonej nie wcześniej niż 3 miesiące przed jej złożeniem;</w:t>
      </w:r>
    </w:p>
    <w:p w14:paraId="51EEF82E" w14:textId="1D2986D0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właściwego naczelnika Urzędu Skarbowego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podatków i opłat, w zakresie art. 109 ust. 1 pkt 1 ustawy, wystawionego nie wcześniej niż 3 miesiące przed jego złożeniem, a w przypadku zalegania z opłacaniem podatków lub opłat wraz z zaświadczeniem </w:t>
      </w:r>
      <w:r>
        <w:rPr>
          <w:rFonts w:ascii="Verdana" w:hAnsi="Verdana"/>
          <w:sz w:val="16"/>
          <w:szCs w:val="16"/>
        </w:rPr>
        <w:t>Z</w:t>
      </w:r>
      <w:r w:rsidRPr="00255C79">
        <w:rPr>
          <w:rFonts w:ascii="Verdana" w:hAnsi="Verdana"/>
          <w:sz w:val="16"/>
          <w:szCs w:val="16"/>
        </w:rPr>
        <w:t xml:space="preserve">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podatków lub opłat wraz z odsetkami lub grzywnami lub zawarł wiążące porozumienie w sprawie spłat tych należności;</w:t>
      </w:r>
    </w:p>
    <w:p w14:paraId="7C779D64" w14:textId="20469327" w:rsid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składek na ubezpieczenia społeczne i zdrowotne, w zakresie art. 109 ust. </w:t>
      </w:r>
      <w:r w:rsidRPr="00255C79">
        <w:rPr>
          <w:rFonts w:ascii="Verdana" w:hAnsi="Verdana"/>
          <w:sz w:val="16"/>
          <w:szCs w:val="16"/>
        </w:rPr>
        <w:lastRenderedPageBreak/>
        <w:t xml:space="preserve">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składek na ubezpieczenia społeczne</w:t>
      </w:r>
      <w:r w:rsidR="00BF5626">
        <w:rPr>
          <w:rFonts w:ascii="Verdana" w:hAnsi="Verdana"/>
          <w:sz w:val="16"/>
          <w:szCs w:val="16"/>
        </w:rPr>
        <w:t>,</w:t>
      </w:r>
    </w:p>
    <w:p w14:paraId="4877D74D" w14:textId="028E700F" w:rsidR="00BF5626" w:rsidRDefault="00BF5626" w:rsidP="00BF562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F5626">
        <w:rPr>
          <w:rFonts w:ascii="Verdana" w:hAnsi="Verdana"/>
          <w:sz w:val="16"/>
          <w:szCs w:val="16"/>
        </w:rPr>
        <w:t>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E17F96">
        <w:rPr>
          <w:rFonts w:ascii="Verdana" w:hAnsi="Verdana"/>
          <w:sz w:val="16"/>
          <w:szCs w:val="16"/>
        </w:rPr>
        <w:t>,</w:t>
      </w:r>
    </w:p>
    <w:p w14:paraId="4257BED1" w14:textId="2D6D9238" w:rsid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 wykonawcy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o aktualności informacji zawartych w JEDZ składane na podstawie § 2 ust. 1 pkt. 7 Rozporządzenia Ministra Rozwoju, Pracy i Technologii z dnia 23 grudnia 2020 r. w sprawie podmiotowych środków dowodowych oraz innych dokumentów lub oświadczeń, jakich może żądać </w:t>
      </w:r>
      <w:r>
        <w:rPr>
          <w:rFonts w:ascii="Verdana" w:hAnsi="Verdana"/>
          <w:sz w:val="16"/>
          <w:szCs w:val="16"/>
        </w:rPr>
        <w:t>Z</w:t>
      </w:r>
      <w:r w:rsidRPr="00E17F96">
        <w:rPr>
          <w:rFonts w:ascii="Verdana" w:hAnsi="Verdana"/>
          <w:sz w:val="16"/>
          <w:szCs w:val="16"/>
        </w:rPr>
        <w:t xml:space="preserve">amawiający od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>,</w:t>
      </w:r>
    </w:p>
    <w:p w14:paraId="7819BBAE" w14:textId="12AF4B58" w:rsidR="00E17F96" w:rsidRP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Wykonawcy 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Verdana" w:hAnsi="Verdana"/>
          <w:sz w:val="16"/>
          <w:szCs w:val="16"/>
        </w:rPr>
        <w:t>.</w:t>
      </w:r>
    </w:p>
    <w:p w14:paraId="0C33A8A4" w14:textId="5C43803E" w:rsidR="00D77D31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b/>
          <w:bCs/>
          <w:sz w:val="16"/>
          <w:szCs w:val="16"/>
        </w:rPr>
        <w:t>UWAGA</w:t>
      </w:r>
      <w:r>
        <w:rPr>
          <w:rFonts w:ascii="Verdana" w:hAnsi="Verdana"/>
          <w:sz w:val="16"/>
          <w:szCs w:val="16"/>
        </w:rPr>
        <w:t>:</w:t>
      </w:r>
    </w:p>
    <w:p w14:paraId="11AD3E38" w14:textId="76F5E76D" w:rsidR="00D77D31" w:rsidRPr="0023702E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3702E">
        <w:rPr>
          <w:rFonts w:ascii="Verdana" w:hAnsi="Verdana"/>
          <w:sz w:val="16"/>
          <w:szCs w:val="16"/>
        </w:rPr>
        <w:t xml:space="preserve">Jeżeli Wykonawca ma siedzibę lub miejsce zamieszkania poza granicami Rzeczypospolitej Polskiej, zamiast: </w:t>
      </w:r>
    </w:p>
    <w:p w14:paraId="2D051E7C" w14:textId="4F426A59" w:rsidR="00D77D31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Krajowego Rejestru Karnego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informację z odpowiedniego rejestru, takiego jak rejestr sądowy albo w przypadku braku takiego rejestru, inny równoważny dokument wydany przez właściwy organ sądowy lub administracyjny kraju, w którym wykonawca ma siedzibę lub miejsce zamieszkania</w:t>
      </w:r>
      <w:r w:rsidR="0023702E">
        <w:rPr>
          <w:rFonts w:ascii="Verdana" w:hAnsi="Verdana"/>
          <w:sz w:val="16"/>
          <w:szCs w:val="16"/>
        </w:rPr>
        <w:t xml:space="preserve">; dokument </w:t>
      </w:r>
      <w:r w:rsidR="0023702E" w:rsidRPr="0023702E">
        <w:rPr>
          <w:rFonts w:ascii="Verdana" w:hAnsi="Verdana"/>
          <w:sz w:val="16"/>
          <w:szCs w:val="16"/>
        </w:rPr>
        <w:t>powinien być wystawiony nie wcześniej niż 6 miesięcy przed jego złożeniem</w:t>
      </w:r>
      <w:r w:rsidR="0023702E">
        <w:rPr>
          <w:rFonts w:ascii="Verdana" w:hAnsi="Verdana"/>
          <w:sz w:val="16"/>
          <w:szCs w:val="16"/>
        </w:rPr>
        <w:t>;</w:t>
      </w:r>
    </w:p>
    <w:p w14:paraId="34DED0DD" w14:textId="15EAA7B1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Centralnego Rejestru Beneficjentów Rzeczywistyc</w:t>
      </w:r>
      <w:r>
        <w:rPr>
          <w:rFonts w:ascii="Verdana" w:hAnsi="Verdana"/>
          <w:sz w:val="16"/>
          <w:szCs w:val="16"/>
        </w:rPr>
        <w:t xml:space="preserve">h </w:t>
      </w:r>
      <w:r w:rsidRPr="00D77D31">
        <w:rPr>
          <w:rFonts w:ascii="Verdana" w:hAnsi="Verdana"/>
          <w:sz w:val="16"/>
          <w:szCs w:val="16"/>
        </w:rPr>
        <w:t>– składa informację z odpowiedniego rejestru zawierającego informacje o jego beneficjentach rzeczywistych albo w przypadku braku takiego rejestru, inny równoważny dokument wydany przez właściwy organ sądowy lub administracyjny kraju, w którym wykonawca ma siedzibę lub miejsce zamieszkania, określający jego beneficjentów rzeczywistych;</w:t>
      </w:r>
      <w:r w:rsidR="0023702E" w:rsidRPr="0023702E">
        <w:t xml:space="preserve"> </w:t>
      </w:r>
      <w:r w:rsidR="0023702E" w:rsidRPr="0023702E">
        <w:rPr>
          <w:rFonts w:ascii="Verdana" w:hAnsi="Verdana"/>
          <w:sz w:val="16"/>
          <w:szCs w:val="16"/>
        </w:rPr>
        <w:t>dokument powinien być wystawion</w:t>
      </w:r>
      <w:r w:rsidR="0023702E">
        <w:rPr>
          <w:rFonts w:ascii="Verdana" w:hAnsi="Verdana"/>
          <w:sz w:val="16"/>
          <w:szCs w:val="16"/>
        </w:rPr>
        <w:t xml:space="preserve">y </w:t>
      </w:r>
      <w:r w:rsidR="0023702E" w:rsidRPr="0023702E">
        <w:rPr>
          <w:rFonts w:ascii="Verdana" w:hAnsi="Verdana"/>
          <w:sz w:val="16"/>
          <w:szCs w:val="16"/>
        </w:rPr>
        <w:t>nie wcześniej niż 3 miesiące przed ich złożeniem.</w:t>
      </w:r>
    </w:p>
    <w:p w14:paraId="72A68142" w14:textId="1165D564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zaświadczenia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właściwego naczelnika Urzędu Skarbowego</w:t>
      </w:r>
      <w:r w:rsidR="0023702E">
        <w:rPr>
          <w:rFonts w:ascii="Verdana" w:hAnsi="Verdana"/>
          <w:sz w:val="16"/>
          <w:szCs w:val="16"/>
        </w:rPr>
        <w:t xml:space="preserve"> - </w:t>
      </w:r>
      <w:r w:rsidRPr="00D77D31">
        <w:rPr>
          <w:rFonts w:ascii="Verdana" w:hAnsi="Verdana"/>
          <w:sz w:val="16"/>
          <w:szCs w:val="16"/>
        </w:rPr>
        <w:t xml:space="preserve">zaświadczenia albo innego dokumentu potwierdzającego, że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>ykonawca nie zalega z opłacaniem składek na ubezpieczenia społeczne lub zdrowotne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lub odpisu albo informacji z Krajowego Rejestru Sądowego lub z Centralnej Ewidencji i Informacji o Działalności Gospodarczej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dokument lub dokumenty wystawione w kraju, w którym wykonawca ma siedzibę lub miejsce zamieszkania, potwierdzające odpowiednio, że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23702E">
        <w:rPr>
          <w:rFonts w:ascii="Verdana" w:hAnsi="Verdana"/>
          <w:sz w:val="16"/>
          <w:szCs w:val="16"/>
        </w:rPr>
        <w:t>nie naruszył obowiązków dotyczących płatności podatków, opłat lub składek na ubezpieczenie społeczne lub zdrowotne</w:t>
      </w:r>
      <w:r w:rsidR="0023702E">
        <w:rPr>
          <w:rFonts w:ascii="Verdana" w:hAnsi="Verdana"/>
          <w:sz w:val="16"/>
          <w:szCs w:val="16"/>
        </w:rPr>
        <w:t xml:space="preserve"> i </w:t>
      </w:r>
      <w:r w:rsidRPr="0023702E">
        <w:rPr>
          <w:rFonts w:ascii="Verdana" w:hAnsi="Verdana"/>
          <w:sz w:val="16"/>
          <w:szCs w:val="16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23702E">
        <w:rPr>
          <w:rFonts w:ascii="Verdana" w:hAnsi="Verdana"/>
          <w:sz w:val="16"/>
          <w:szCs w:val="16"/>
        </w:rPr>
        <w:t xml:space="preserve">; dokument powinien być </w:t>
      </w:r>
      <w:r w:rsidR="0023702E" w:rsidRPr="0023702E">
        <w:rPr>
          <w:rFonts w:ascii="Verdana" w:hAnsi="Verdana"/>
          <w:sz w:val="16"/>
          <w:szCs w:val="16"/>
        </w:rPr>
        <w:t>wystawion</w:t>
      </w:r>
      <w:r w:rsidR="0023702E">
        <w:rPr>
          <w:rFonts w:ascii="Verdana" w:hAnsi="Verdana"/>
          <w:sz w:val="16"/>
          <w:szCs w:val="16"/>
        </w:rPr>
        <w:t>y</w:t>
      </w:r>
      <w:r w:rsidR="0023702E" w:rsidRPr="0023702E">
        <w:rPr>
          <w:rFonts w:ascii="Verdana" w:hAnsi="Verdana"/>
          <w:sz w:val="16"/>
          <w:szCs w:val="16"/>
        </w:rPr>
        <w:t xml:space="preserve"> nie wcześniej niż 3 miesiące przed ich złożeniem.</w:t>
      </w:r>
    </w:p>
    <w:p w14:paraId="4B60AF62" w14:textId="09B25E21" w:rsidR="00D77D31" w:rsidRPr="00D77D31" w:rsidRDefault="00D77D31" w:rsidP="00D77D3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 xml:space="preserve">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zamieszkania, nie wydaje się dokumentów, o których mowa </w:t>
      </w:r>
      <w:r w:rsidR="0023702E">
        <w:rPr>
          <w:rFonts w:ascii="Verdana" w:hAnsi="Verdana"/>
          <w:sz w:val="16"/>
          <w:szCs w:val="16"/>
        </w:rPr>
        <w:t>powyżej</w:t>
      </w:r>
      <w:r w:rsidRPr="00D77D31">
        <w:rPr>
          <w:rFonts w:ascii="Verdana" w:hAnsi="Verdana"/>
          <w:sz w:val="16"/>
          <w:szCs w:val="16"/>
        </w:rPr>
        <w:t xml:space="preserve"> lub gdy dokumenty te nie odnoszą się do wszystkich przypadków, o których mowa w art. 108 ust. 1 pkt 1, 2 i 4, art. 109 ust. 1 pkt 1, 2 lit. a i b oraz pkt 3 ustawy, zastępuje się je odpowiednio w całości lub w części dokumentem zawierającym odpowiednio oświadczenie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ykonawcy, ze wskazaniem osoby albo osób </w:t>
      </w:r>
      <w:r w:rsidRPr="00D77D31">
        <w:rPr>
          <w:rFonts w:ascii="Verdana" w:hAnsi="Verdana"/>
          <w:sz w:val="16"/>
          <w:szCs w:val="16"/>
        </w:rPr>
        <w:lastRenderedPageBreak/>
        <w:t xml:space="preserve">uprawnionych do jego reprezentacji, lub oświadczenie osoby, której dokument miał dotyczyć, złożone pod przysięgą, lub, 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ykonawcy. </w:t>
      </w:r>
    </w:p>
    <w:p w14:paraId="527CAE56" w14:textId="03EAD42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Oferta oraz oświadczenie </w:t>
      </w:r>
      <w:r w:rsidR="00B64CB6">
        <w:rPr>
          <w:rFonts w:ascii="Verdana" w:hAnsi="Verdana"/>
          <w:sz w:val="16"/>
          <w:szCs w:val="16"/>
        </w:rPr>
        <w:t>JEDZ</w:t>
      </w:r>
      <w:r w:rsidRPr="00B505E5">
        <w:rPr>
          <w:rFonts w:ascii="Verdana" w:hAnsi="Verdana"/>
          <w:sz w:val="16"/>
          <w:szCs w:val="16"/>
        </w:rPr>
        <w:t xml:space="preserve"> muszą być złożone w oryginale.</w:t>
      </w:r>
    </w:p>
    <w:p w14:paraId="6722E630" w14:textId="7777777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0FB2A106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 xml:space="preserve">Zamawiający wezwie Wykonawcę, którego oferta została najwyżej oceniona, do złożenia, w wyznaczonym, nie krótszym niż </w:t>
      </w:r>
      <w:r w:rsidR="00B64CB6">
        <w:rPr>
          <w:rFonts w:ascii="Verdana" w:hAnsi="Verdana"/>
          <w:sz w:val="16"/>
          <w:szCs w:val="16"/>
        </w:rPr>
        <w:t>10</w:t>
      </w:r>
      <w:r w:rsidRPr="00F71711">
        <w:rPr>
          <w:rFonts w:ascii="Verdana" w:hAnsi="Verdana"/>
          <w:sz w:val="16"/>
          <w:szCs w:val="16"/>
        </w:rPr>
        <w:t xml:space="preserve"> dni terminie, aktualnych na dzień złożenia podmiotowych środków dowodowych.</w:t>
      </w:r>
    </w:p>
    <w:p w14:paraId="40E5AE08" w14:textId="41394D61" w:rsidR="00885941" w:rsidRDefault="0088594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</w:t>
      </w:r>
      <w:r w:rsidRPr="00B505E5">
        <w:rPr>
          <w:rFonts w:ascii="Verdana" w:hAnsi="Verdana"/>
          <w:sz w:val="16"/>
          <w:szCs w:val="16"/>
        </w:rPr>
        <w:t xml:space="preserve">środków dowodowych lub złożone </w:t>
      </w:r>
      <w:r>
        <w:rPr>
          <w:rFonts w:ascii="Verdana" w:hAnsi="Verdana"/>
          <w:sz w:val="16"/>
          <w:szCs w:val="16"/>
        </w:rPr>
        <w:t xml:space="preserve">podmiotowe </w:t>
      </w:r>
      <w:r w:rsidRPr="00B505E5">
        <w:rPr>
          <w:rFonts w:ascii="Verdana" w:hAnsi="Verdana"/>
          <w:sz w:val="16"/>
          <w:szCs w:val="16"/>
        </w:rPr>
        <w:t xml:space="preserve">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2290AFA9" w:rsidR="00A1298B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D75C077" w14:textId="0A877EC6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713965">
        <w:rPr>
          <w:rFonts w:ascii="Verdana" w:hAnsi="Verdana"/>
          <w:sz w:val="16"/>
          <w:szCs w:val="16"/>
        </w:rPr>
        <w:t>29.04.2026r.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713965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0AFB28CA" w:rsidR="00F70930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17808D22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713965">
        <w:rPr>
          <w:rFonts w:ascii="Verdana" w:hAnsi="Verdana"/>
          <w:sz w:val="16"/>
          <w:szCs w:val="16"/>
        </w:rPr>
        <w:t>29.04.2026 r.</w:t>
      </w:r>
      <w:r w:rsidR="00363FCB">
        <w:rPr>
          <w:rFonts w:ascii="Verdana" w:hAnsi="Verdana"/>
          <w:sz w:val="16"/>
          <w:szCs w:val="16"/>
        </w:rPr>
        <w:t>,</w:t>
      </w:r>
      <w:r w:rsidRPr="00F70930">
        <w:rPr>
          <w:rFonts w:ascii="Verdana" w:hAnsi="Verdana"/>
          <w:sz w:val="16"/>
          <w:szCs w:val="16"/>
        </w:rPr>
        <w:t xml:space="preserve"> o godzinie </w:t>
      </w:r>
      <w:r w:rsidR="00713965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1FE3DFF8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 xml:space="preserve">ocznie po otwarciu ofert, </w:t>
      </w:r>
      <w:r w:rsidR="00363FCB" w:rsidRPr="00F70930">
        <w:rPr>
          <w:rFonts w:ascii="Verdana" w:hAnsi="Verdana"/>
          <w:sz w:val="16"/>
          <w:szCs w:val="16"/>
        </w:rPr>
        <w:t>udostę</w:t>
      </w:r>
      <w:r w:rsidR="00363FCB" w:rsidRPr="00F70930">
        <w:rPr>
          <w:rFonts w:ascii="Arial" w:hAnsi="Arial" w:cs="Arial"/>
          <w:sz w:val="16"/>
          <w:szCs w:val="16"/>
        </w:rPr>
        <w:t>p</w:t>
      </w:r>
      <w:r w:rsidR="00363FCB" w:rsidRPr="00F70930">
        <w:rPr>
          <w:rFonts w:ascii="Verdana" w:hAnsi="Verdana"/>
          <w:sz w:val="16"/>
          <w:szCs w:val="16"/>
        </w:rPr>
        <w:t>nia</w:t>
      </w:r>
      <w:r w:rsidRPr="00F70930">
        <w:rPr>
          <w:rFonts w:ascii="Verdana" w:hAnsi="Verdana"/>
          <w:sz w:val="16"/>
          <w:szCs w:val="16"/>
        </w:rPr>
        <w:t xml:space="preserve">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 xml:space="preserve">stronie internetowej prowadzonego </w:t>
      </w:r>
      <w:r w:rsidR="00363FCB" w:rsidRPr="00F70930">
        <w:rPr>
          <w:rFonts w:ascii="Verdana" w:hAnsi="Verdana"/>
          <w:sz w:val="16"/>
          <w:szCs w:val="16"/>
        </w:rPr>
        <w:t>poste</w:t>
      </w:r>
      <w:r w:rsidR="00363FCB" w:rsidRPr="00F70930">
        <w:rPr>
          <w:rFonts w:ascii="Arial" w:hAnsi="Arial" w:cs="Arial"/>
          <w:sz w:val="16"/>
          <w:szCs w:val="16"/>
        </w:rPr>
        <w:t>p</w:t>
      </w:r>
      <w:r w:rsidR="00363FCB" w:rsidRPr="00F70930">
        <w:rPr>
          <w:rFonts w:ascii="Verdana" w:hAnsi="Verdana"/>
          <w:sz w:val="16"/>
          <w:szCs w:val="16"/>
        </w:rPr>
        <w:t>owania</w:t>
      </w:r>
      <w:r w:rsidRPr="00F70930">
        <w:rPr>
          <w:rFonts w:ascii="Verdana" w:hAnsi="Verdana"/>
          <w:sz w:val="16"/>
          <w:szCs w:val="16"/>
        </w:rPr>
        <w:t xml:space="preserve">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7E15CED0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368FE310" w:rsidR="00D2239A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lastRenderedPageBreak/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250F8036" w:rsidR="00564B52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</w:t>
      </w:r>
      <w:r w:rsidR="00BC73BD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o udzielenie zamówienia</w:t>
      </w:r>
    </w:p>
    <w:p w14:paraId="53756FF8" w14:textId="175582EA" w:rsidR="00BC73BD" w:rsidRPr="00563596" w:rsidRDefault="00966A70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zgodnie z art.</w:t>
      </w:r>
      <w:r>
        <w:t xml:space="preserve"> </w:t>
      </w:r>
      <w:r w:rsidRPr="00966A70">
        <w:rPr>
          <w:rFonts w:ascii="Verdana" w:hAnsi="Verdana"/>
          <w:sz w:val="16"/>
          <w:szCs w:val="16"/>
        </w:rPr>
        <w:t xml:space="preserve">1 ust. 1 rozporządzenia Wykonawczego Komisji (UE) 2025/1197 z dnia 19 czerwca 2025 r. nakładającego środek Instrumentu Zamówień międzynarodowych </w:t>
      </w:r>
      <w:r w:rsidRPr="00966A70">
        <w:rPr>
          <w:rFonts w:ascii="Verdana" w:hAnsi="Verdana"/>
          <w:b/>
          <w:bCs/>
          <w:sz w:val="16"/>
          <w:szCs w:val="16"/>
        </w:rPr>
        <w:t>ograniczającego dostęp wykonawców i wyrobów medycznych pochodzących z Chińskiej Republiki Ludowej</w:t>
      </w:r>
      <w:r w:rsidRPr="00966A70">
        <w:rPr>
          <w:rFonts w:ascii="Verdana" w:hAnsi="Verdana"/>
          <w:sz w:val="16"/>
          <w:szCs w:val="16"/>
        </w:rPr>
        <w:t xml:space="preserve"> do unijnego rynku zamówień publicznych dla wyrobów medycznych zgodnie z rozporządzeniem Parlamentu Europejskiego i Rady (UE) 2022/1031 (zwanej dalej: rozporządzenie 2025/1197)</w:t>
      </w:r>
      <w:r>
        <w:rPr>
          <w:rFonts w:ascii="Verdana" w:hAnsi="Verdana"/>
          <w:sz w:val="16"/>
          <w:szCs w:val="16"/>
        </w:rPr>
        <w:t>.</w:t>
      </w:r>
    </w:p>
    <w:p w14:paraId="3A31AF79" w14:textId="50BEF6BF" w:rsidR="00564B52" w:rsidRDefault="00564B52" w:rsidP="00966A70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F8FDA8B" w14:textId="7B1C4B84" w:rsidR="00BC73BD" w:rsidRDefault="00BC73BD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BC73BD">
        <w:rPr>
          <w:rFonts w:ascii="Verdana" w:hAnsi="Verdana"/>
          <w:sz w:val="16"/>
          <w:szCs w:val="16"/>
        </w:rPr>
        <w:lastRenderedPageBreak/>
        <w:t>Zamawiający nie przewiduje fakultatywnych podstaw wykluczenia Wykonawcy, czyli na podstawie art. 109 ust. 1 ustawy Pzp.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081B39C5" w14:textId="30F49CE1" w:rsidR="00966A70" w:rsidRDefault="00966A70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Warunki udziału w postępowaniu o udzielenie zamówienia</w:t>
      </w:r>
    </w:p>
    <w:p w14:paraId="083E4F9E" w14:textId="77777777" w:rsidR="00966A70" w:rsidRDefault="00966A70" w:rsidP="00966A70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005A1C">
        <w:rPr>
          <w:rFonts w:ascii="Verdana" w:hAnsi="Verdana"/>
          <w:sz w:val="16"/>
          <w:szCs w:val="16"/>
        </w:rPr>
        <w:t>O udzielenie zamówienia</w:t>
      </w:r>
      <w:r>
        <w:rPr>
          <w:rFonts w:ascii="Verdana" w:hAnsi="Verdana"/>
          <w:sz w:val="16"/>
          <w:szCs w:val="16"/>
        </w:rPr>
        <w:t xml:space="preserve"> publicznego mogą ubiegać się Ci Wykonawcy, którzy spełniają warunki dotyczące:</w:t>
      </w:r>
    </w:p>
    <w:p w14:paraId="59810F61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do występowania w obrocie gospodarczym – Zamawiający nie wyznacza szczegółowego warunku w tym zakresie;</w:t>
      </w:r>
    </w:p>
    <w:p w14:paraId="4737D1CE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</w:t>
      </w:r>
      <w:r w:rsidRPr="00005A1C">
        <w:rPr>
          <w:rFonts w:ascii="Verdana" w:hAnsi="Verdana"/>
          <w:sz w:val="16"/>
          <w:szCs w:val="16"/>
        </w:rPr>
        <w:t>prawnień do prowadzenia określonej działalności gospodarczej lub zawodowej, o ile wynika to z odrębnych przepisów – Zamawiający nie wyznacza szczegółowego warunku w tym zakresie;</w:t>
      </w:r>
    </w:p>
    <w:p w14:paraId="4378B64F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Pr="00005A1C">
        <w:rPr>
          <w:rFonts w:ascii="Verdana" w:hAnsi="Verdana"/>
          <w:sz w:val="16"/>
          <w:szCs w:val="16"/>
        </w:rPr>
        <w:t>ytuacji ekonomicznej lub finansowej – Zamawiający nie wyznacza szczegółowego warunku w tym zakresie;</w:t>
      </w:r>
    </w:p>
    <w:p w14:paraId="08F6D2D0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technicznej lub zawodowej – Zamawiający nie wyznacza szczegółowego warunku w tym zakresie</w:t>
      </w:r>
      <w:r>
        <w:rPr>
          <w:rFonts w:ascii="Verdana" w:hAnsi="Verdana"/>
          <w:sz w:val="16"/>
          <w:szCs w:val="16"/>
        </w:rPr>
        <w:t>.</w:t>
      </w:r>
    </w:p>
    <w:p w14:paraId="4FABA9FD" w14:textId="77777777" w:rsidR="00966A70" w:rsidRDefault="00966A70" w:rsidP="00966A70">
      <w:pPr>
        <w:pStyle w:val="Akapitzlist"/>
        <w:spacing w:after="0" w:line="360" w:lineRule="auto"/>
        <w:ind w:left="360"/>
        <w:rPr>
          <w:rFonts w:ascii="Verdana" w:hAnsi="Verdana"/>
          <w:b/>
          <w:bCs/>
          <w:sz w:val="16"/>
          <w:szCs w:val="16"/>
        </w:rPr>
      </w:pPr>
    </w:p>
    <w:p w14:paraId="2B49C25E" w14:textId="468C1C01" w:rsidR="00E9408F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7EB5EB92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241B3FA5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0B0FEC41" w:rsidR="007B2B75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0C52E5B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4CC12CA4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="00C26E4C">
        <w:rPr>
          <w:rFonts w:ascii="Verdana" w:hAnsi="Verdana"/>
          <w:sz w:val="16"/>
          <w:szCs w:val="16"/>
        </w:rPr>
        <w:t>10</w:t>
      </w:r>
      <w:r w:rsidRPr="00DF0F0B">
        <w:rPr>
          <w:rFonts w:ascii="Verdana" w:hAnsi="Verdana"/>
          <w:sz w:val="16"/>
          <w:szCs w:val="16"/>
        </w:rPr>
        <w:t xml:space="preserve">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 xml:space="preserve">ania zawiadomienia o wyborze najkorzystniejszej oferty, </w:t>
      </w:r>
      <w:r w:rsidRPr="00DF0F0B">
        <w:rPr>
          <w:rFonts w:ascii="Verdana" w:hAnsi="Verdana"/>
          <w:sz w:val="16"/>
          <w:szCs w:val="16"/>
        </w:rPr>
        <w:lastRenderedPageBreak/>
        <w:t>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</w:t>
      </w:r>
      <w:r w:rsidR="00C26E4C">
        <w:rPr>
          <w:rFonts w:ascii="Verdana" w:hAnsi="Verdana"/>
          <w:sz w:val="16"/>
          <w:szCs w:val="16"/>
        </w:rPr>
        <w:t>5</w:t>
      </w:r>
      <w:r w:rsidRPr="00DF0F0B">
        <w:rPr>
          <w:rFonts w:ascii="Verdana" w:hAnsi="Verdana"/>
          <w:sz w:val="16"/>
          <w:szCs w:val="16"/>
        </w:rPr>
        <w:t xml:space="preserve">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410EFC7B" w:rsidR="00F8625B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1E67DF9E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Załączniki do SWZ</w:t>
      </w:r>
    </w:p>
    <w:p w14:paraId="3456E736" w14:textId="77777777" w:rsidR="00074C27" w:rsidRDefault="00074C27" w:rsidP="00074C27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564B52"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1007A02C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0F9881A4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9F65F1">
        <w:rPr>
          <w:rFonts w:ascii="Verdana" w:hAnsi="Verdana"/>
          <w:sz w:val="16"/>
          <w:szCs w:val="16"/>
        </w:rPr>
        <w:t>Oświadczenie w zakresie przeciwdziałania wspierania agresji na Ukrainę</w:t>
      </w:r>
      <w:r>
        <w:rPr>
          <w:rFonts w:ascii="Verdana" w:hAnsi="Verdana"/>
          <w:sz w:val="16"/>
          <w:szCs w:val="16"/>
        </w:rPr>
        <w:t xml:space="preserve"> – załącznik nr 2;</w:t>
      </w:r>
    </w:p>
    <w:p w14:paraId="68B23942" w14:textId="77777777" w:rsidR="0079767B" w:rsidRPr="009F65F1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9F65F1">
        <w:rPr>
          <w:rFonts w:ascii="Verdana" w:hAnsi="Verdana"/>
          <w:sz w:val="16"/>
          <w:szCs w:val="16"/>
        </w:rPr>
        <w:t>świadczenie wykonawcy o aktualności informacji zawartych w JEDZ</w:t>
      </w:r>
      <w:r>
        <w:rPr>
          <w:rFonts w:ascii="Verdana" w:hAnsi="Verdana"/>
          <w:sz w:val="16"/>
          <w:szCs w:val="16"/>
        </w:rPr>
        <w:t xml:space="preserve"> – załącznik nr 3;</w:t>
      </w:r>
    </w:p>
    <w:p w14:paraId="184B7A29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229A40ED" w14:textId="234BB082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Parametry techniczne – wymagania minimalne – załącznik nr 5</w:t>
      </w:r>
      <w:r w:rsidR="00713965">
        <w:rPr>
          <w:rFonts w:ascii="Verdana" w:hAnsi="Verdana"/>
          <w:sz w:val="16"/>
          <w:szCs w:val="16"/>
        </w:rPr>
        <w:t>;</w:t>
      </w:r>
    </w:p>
    <w:p w14:paraId="28C3DA9E" w14:textId="40296256" w:rsidR="00713965" w:rsidRPr="00713965" w:rsidRDefault="00713965" w:rsidP="0071396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Wytyczne MZ</w:t>
      </w:r>
      <w:r w:rsidRPr="00713965">
        <w:t xml:space="preserve"> </w:t>
      </w:r>
      <w:r w:rsidRPr="00713965">
        <w:rPr>
          <w:rFonts w:ascii="Verdana" w:hAnsi="Verdana"/>
          <w:sz w:val="16"/>
          <w:szCs w:val="16"/>
        </w:rPr>
        <w:t>w zakresie wymogów prawidłowego</w:t>
      </w:r>
      <w:r>
        <w:rPr>
          <w:rFonts w:ascii="Verdana" w:hAnsi="Verdana"/>
          <w:sz w:val="16"/>
          <w:szCs w:val="16"/>
        </w:rPr>
        <w:t xml:space="preserve"> </w:t>
      </w:r>
      <w:r w:rsidRPr="00713965">
        <w:rPr>
          <w:rFonts w:ascii="Verdana" w:hAnsi="Verdana"/>
          <w:sz w:val="16"/>
          <w:szCs w:val="16"/>
        </w:rPr>
        <w:t>funkcjonowania pralni dla podmiotów świadczących usługi</w:t>
      </w:r>
      <w:r>
        <w:rPr>
          <w:rFonts w:ascii="Verdana" w:hAnsi="Verdana"/>
          <w:sz w:val="16"/>
          <w:szCs w:val="16"/>
        </w:rPr>
        <w:t xml:space="preserve"> </w:t>
      </w:r>
      <w:r w:rsidRPr="00713965">
        <w:rPr>
          <w:rFonts w:ascii="Verdana" w:hAnsi="Verdana"/>
          <w:sz w:val="16"/>
          <w:szCs w:val="16"/>
        </w:rPr>
        <w:t>pralnicze na rzecz podmiotów świadczących usługi lecznicze</w:t>
      </w:r>
      <w:r>
        <w:rPr>
          <w:rFonts w:ascii="Verdana" w:hAnsi="Verdana"/>
          <w:sz w:val="16"/>
          <w:szCs w:val="16"/>
        </w:rPr>
        <w:t xml:space="preserve"> – załącznik nr 6.</w:t>
      </w:r>
    </w:p>
    <w:p w14:paraId="12B98942" w14:textId="77777777" w:rsidR="0079767B" w:rsidRPr="00D11BA3" w:rsidRDefault="0079767B" w:rsidP="0079767B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6A12E7F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41B013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BEE74D8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D92AF46" w14:textId="77777777" w:rsidR="00D11BA3" w:rsidRPr="00D11BA3" w:rsidRDefault="00D11BA3" w:rsidP="00E001E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D11BA3" w:rsidRPr="00D11BA3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7F9C" w14:textId="77777777" w:rsidR="0021744F" w:rsidRDefault="0021744F" w:rsidP="00D11BA3">
      <w:pPr>
        <w:spacing w:after="0" w:line="240" w:lineRule="auto"/>
      </w:pPr>
      <w:r>
        <w:separator/>
      </w:r>
    </w:p>
  </w:endnote>
  <w:endnote w:type="continuationSeparator" w:id="0">
    <w:p w14:paraId="06082141" w14:textId="77777777" w:rsidR="0021744F" w:rsidRDefault="0021744F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EE15" w14:textId="77777777" w:rsidR="0021744F" w:rsidRDefault="0021744F" w:rsidP="00D11BA3">
      <w:pPr>
        <w:spacing w:after="0" w:line="240" w:lineRule="auto"/>
      </w:pPr>
      <w:r>
        <w:separator/>
      </w:r>
    </w:p>
  </w:footnote>
  <w:footnote w:type="continuationSeparator" w:id="0">
    <w:p w14:paraId="1043A75C" w14:textId="77777777" w:rsidR="0021744F" w:rsidRDefault="0021744F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EF0"/>
    <w:multiLevelType w:val="hybridMultilevel"/>
    <w:tmpl w:val="135AD5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6B7F"/>
    <w:multiLevelType w:val="hybridMultilevel"/>
    <w:tmpl w:val="8FE6CF2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E93DE6"/>
    <w:multiLevelType w:val="hybridMultilevel"/>
    <w:tmpl w:val="C80AC41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76317D1"/>
    <w:multiLevelType w:val="hybridMultilevel"/>
    <w:tmpl w:val="19B46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2AE0"/>
    <w:multiLevelType w:val="hybridMultilevel"/>
    <w:tmpl w:val="1062E4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81719C3"/>
    <w:multiLevelType w:val="multilevel"/>
    <w:tmpl w:val="23C6BA0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5407E1"/>
    <w:multiLevelType w:val="hybridMultilevel"/>
    <w:tmpl w:val="FDC4058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D736C3"/>
    <w:multiLevelType w:val="hybridMultilevel"/>
    <w:tmpl w:val="230A812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6503DA"/>
    <w:multiLevelType w:val="hybridMultilevel"/>
    <w:tmpl w:val="2086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6F17A2"/>
    <w:multiLevelType w:val="hybridMultilevel"/>
    <w:tmpl w:val="979234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A193A"/>
    <w:multiLevelType w:val="hybridMultilevel"/>
    <w:tmpl w:val="152CA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BC01EDA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B5A6A"/>
    <w:multiLevelType w:val="hybridMultilevel"/>
    <w:tmpl w:val="9EBE856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3A86A36"/>
    <w:multiLevelType w:val="hybridMultilevel"/>
    <w:tmpl w:val="756C105C"/>
    <w:lvl w:ilvl="0" w:tplc="18B2AB1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A3871"/>
    <w:multiLevelType w:val="hybridMultilevel"/>
    <w:tmpl w:val="2836076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65217AA"/>
    <w:multiLevelType w:val="hybridMultilevel"/>
    <w:tmpl w:val="44B0767A"/>
    <w:lvl w:ilvl="0" w:tplc="2ED4F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13F7F"/>
    <w:multiLevelType w:val="hybridMultilevel"/>
    <w:tmpl w:val="627210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BE5E11"/>
    <w:multiLevelType w:val="hybridMultilevel"/>
    <w:tmpl w:val="FDB4950C"/>
    <w:lvl w:ilvl="0" w:tplc="EC2CF194">
      <w:start w:val="10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AE37DC"/>
    <w:multiLevelType w:val="hybridMultilevel"/>
    <w:tmpl w:val="6D8ABD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E7D0F"/>
    <w:multiLevelType w:val="hybridMultilevel"/>
    <w:tmpl w:val="E458BE3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0D293A"/>
    <w:multiLevelType w:val="hybridMultilevel"/>
    <w:tmpl w:val="1040C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A63F8"/>
    <w:multiLevelType w:val="hybridMultilevel"/>
    <w:tmpl w:val="79A899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4EE606AE"/>
    <w:multiLevelType w:val="hybridMultilevel"/>
    <w:tmpl w:val="990E47CE"/>
    <w:lvl w:ilvl="0" w:tplc="020CD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54B90078"/>
    <w:multiLevelType w:val="hybridMultilevel"/>
    <w:tmpl w:val="68F8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EA092A"/>
    <w:multiLevelType w:val="hybridMultilevel"/>
    <w:tmpl w:val="2BF4B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5014CA"/>
    <w:multiLevelType w:val="hybridMultilevel"/>
    <w:tmpl w:val="4934B3D4"/>
    <w:lvl w:ilvl="0" w:tplc="225C8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E685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51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B7659A5"/>
    <w:multiLevelType w:val="multilevel"/>
    <w:tmpl w:val="96B8840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8" w15:restartNumberingAfterBreak="0">
    <w:nsid w:val="6CFA1124"/>
    <w:multiLevelType w:val="hybridMultilevel"/>
    <w:tmpl w:val="B2A85A7A"/>
    <w:lvl w:ilvl="0" w:tplc="6E563EA2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8A6706"/>
    <w:multiLevelType w:val="hybridMultilevel"/>
    <w:tmpl w:val="29C4B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445BF0"/>
    <w:multiLevelType w:val="hybridMultilevel"/>
    <w:tmpl w:val="A0AECA5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75A2241A"/>
    <w:multiLevelType w:val="hybridMultilevel"/>
    <w:tmpl w:val="6AE2BFDC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6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7" w15:restartNumberingAfterBreak="0">
    <w:nsid w:val="76613E25"/>
    <w:multiLevelType w:val="hybridMultilevel"/>
    <w:tmpl w:val="44B89D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7D259A"/>
    <w:multiLevelType w:val="hybridMultilevel"/>
    <w:tmpl w:val="75C46C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806145">
    <w:abstractNumId w:val="51"/>
  </w:num>
  <w:num w:numId="2" w16cid:durableId="2092389883">
    <w:abstractNumId w:val="32"/>
  </w:num>
  <w:num w:numId="3" w16cid:durableId="1518545791">
    <w:abstractNumId w:val="13"/>
  </w:num>
  <w:num w:numId="4" w16cid:durableId="939214368">
    <w:abstractNumId w:val="42"/>
  </w:num>
  <w:num w:numId="5" w16cid:durableId="1179809429">
    <w:abstractNumId w:val="52"/>
  </w:num>
  <w:num w:numId="6" w16cid:durableId="2145152432">
    <w:abstractNumId w:val="56"/>
  </w:num>
  <w:num w:numId="7" w16cid:durableId="921380273">
    <w:abstractNumId w:val="24"/>
  </w:num>
  <w:num w:numId="8" w16cid:durableId="457140767">
    <w:abstractNumId w:val="6"/>
  </w:num>
  <w:num w:numId="9" w16cid:durableId="684938334">
    <w:abstractNumId w:val="62"/>
  </w:num>
  <w:num w:numId="10" w16cid:durableId="2106680749">
    <w:abstractNumId w:val="25"/>
  </w:num>
  <w:num w:numId="11" w16cid:durableId="297731914">
    <w:abstractNumId w:val="47"/>
  </w:num>
  <w:num w:numId="12" w16cid:durableId="76636892">
    <w:abstractNumId w:val="46"/>
  </w:num>
  <w:num w:numId="13" w16cid:durableId="993990420">
    <w:abstractNumId w:val="44"/>
  </w:num>
  <w:num w:numId="14" w16cid:durableId="1785689210">
    <w:abstractNumId w:val="33"/>
  </w:num>
  <w:num w:numId="15" w16cid:durableId="1569655273">
    <w:abstractNumId w:val="50"/>
  </w:num>
  <w:num w:numId="16" w16cid:durableId="1104496421">
    <w:abstractNumId w:val="39"/>
  </w:num>
  <w:num w:numId="17" w16cid:durableId="2000226572">
    <w:abstractNumId w:val="14"/>
  </w:num>
  <w:num w:numId="18" w16cid:durableId="281691013">
    <w:abstractNumId w:val="53"/>
  </w:num>
  <w:num w:numId="19" w16cid:durableId="795758185">
    <w:abstractNumId w:val="68"/>
  </w:num>
  <w:num w:numId="20" w16cid:durableId="1743873717">
    <w:abstractNumId w:val="66"/>
  </w:num>
  <w:num w:numId="21" w16cid:durableId="32930515">
    <w:abstractNumId w:val="54"/>
  </w:num>
  <w:num w:numId="22" w16cid:durableId="1943612000">
    <w:abstractNumId w:val="55"/>
  </w:num>
  <w:num w:numId="23" w16cid:durableId="1937400225">
    <w:abstractNumId w:val="41"/>
  </w:num>
  <w:num w:numId="24" w16cid:durableId="120656277">
    <w:abstractNumId w:val="19"/>
  </w:num>
  <w:num w:numId="25" w16cid:durableId="1616061713">
    <w:abstractNumId w:val="63"/>
  </w:num>
  <w:num w:numId="26" w16cid:durableId="700470834">
    <w:abstractNumId w:val="16"/>
  </w:num>
  <w:num w:numId="27" w16cid:durableId="433091320">
    <w:abstractNumId w:val="70"/>
  </w:num>
  <w:num w:numId="28" w16cid:durableId="957831886">
    <w:abstractNumId w:val="17"/>
  </w:num>
  <w:num w:numId="29" w16cid:durableId="2072577842">
    <w:abstractNumId w:val="59"/>
  </w:num>
  <w:num w:numId="30" w16cid:durableId="564337956">
    <w:abstractNumId w:val="34"/>
  </w:num>
  <w:num w:numId="31" w16cid:durableId="1006903543">
    <w:abstractNumId w:val="35"/>
  </w:num>
  <w:num w:numId="32" w16cid:durableId="1459375617">
    <w:abstractNumId w:val="49"/>
  </w:num>
  <w:num w:numId="33" w16cid:durableId="1756050241">
    <w:abstractNumId w:val="60"/>
  </w:num>
  <w:num w:numId="34" w16cid:durableId="1082066368">
    <w:abstractNumId w:val="43"/>
  </w:num>
  <w:num w:numId="35" w16cid:durableId="1724451286">
    <w:abstractNumId w:val="36"/>
  </w:num>
  <w:num w:numId="36" w16cid:durableId="1777598860">
    <w:abstractNumId w:val="10"/>
  </w:num>
  <w:num w:numId="37" w16cid:durableId="519778891">
    <w:abstractNumId w:val="11"/>
  </w:num>
  <w:num w:numId="38" w16cid:durableId="1036003509">
    <w:abstractNumId w:val="27"/>
  </w:num>
  <w:num w:numId="39" w16cid:durableId="1376780928">
    <w:abstractNumId w:val="12"/>
  </w:num>
  <w:num w:numId="40" w16cid:durableId="746876050">
    <w:abstractNumId w:val="4"/>
  </w:num>
  <w:num w:numId="41" w16cid:durableId="135531845">
    <w:abstractNumId w:val="26"/>
  </w:num>
  <w:num w:numId="42" w16cid:durableId="1507594083">
    <w:abstractNumId w:val="69"/>
  </w:num>
  <w:num w:numId="43" w16cid:durableId="360740138">
    <w:abstractNumId w:val="15"/>
  </w:num>
  <w:num w:numId="44" w16cid:durableId="1350764867">
    <w:abstractNumId w:val="29"/>
  </w:num>
  <w:num w:numId="45" w16cid:durableId="273681231">
    <w:abstractNumId w:val="9"/>
  </w:num>
  <w:num w:numId="46" w16cid:durableId="1268274280">
    <w:abstractNumId w:val="40"/>
  </w:num>
  <w:num w:numId="47" w16cid:durableId="1662730614">
    <w:abstractNumId w:val="57"/>
  </w:num>
  <w:num w:numId="48" w16cid:durableId="1435788046">
    <w:abstractNumId w:val="5"/>
  </w:num>
  <w:num w:numId="49" w16cid:durableId="1935937700">
    <w:abstractNumId w:val="58"/>
  </w:num>
  <w:num w:numId="50" w16cid:durableId="781648314">
    <w:abstractNumId w:val="48"/>
  </w:num>
  <w:num w:numId="51" w16cid:durableId="1779521118">
    <w:abstractNumId w:val="3"/>
  </w:num>
  <w:num w:numId="52" w16cid:durableId="1015035968">
    <w:abstractNumId w:val="23"/>
  </w:num>
  <w:num w:numId="53" w16cid:durableId="1910534329">
    <w:abstractNumId w:val="21"/>
  </w:num>
  <w:num w:numId="54" w16cid:durableId="110441262">
    <w:abstractNumId w:val="31"/>
  </w:num>
  <w:num w:numId="55" w16cid:durableId="86966758">
    <w:abstractNumId w:val="45"/>
  </w:num>
  <w:num w:numId="56" w16cid:durableId="1592665751">
    <w:abstractNumId w:val="38"/>
  </w:num>
  <w:num w:numId="57" w16cid:durableId="205339417">
    <w:abstractNumId w:val="37"/>
  </w:num>
  <w:num w:numId="58" w16cid:durableId="43869963">
    <w:abstractNumId w:val="18"/>
  </w:num>
  <w:num w:numId="59" w16cid:durableId="1326936383">
    <w:abstractNumId w:val="2"/>
  </w:num>
  <w:num w:numId="60" w16cid:durableId="7174558">
    <w:abstractNumId w:val="65"/>
  </w:num>
  <w:num w:numId="61" w16cid:durableId="239751801">
    <w:abstractNumId w:val="30"/>
  </w:num>
  <w:num w:numId="62" w16cid:durableId="1748065026">
    <w:abstractNumId w:val="20"/>
  </w:num>
  <w:num w:numId="63" w16cid:durableId="1389500583">
    <w:abstractNumId w:val="67"/>
  </w:num>
  <w:num w:numId="64" w16cid:durableId="1358310608">
    <w:abstractNumId w:val="64"/>
  </w:num>
  <w:num w:numId="65" w16cid:durableId="1332871557">
    <w:abstractNumId w:val="0"/>
  </w:num>
  <w:num w:numId="66" w16cid:durableId="611668131">
    <w:abstractNumId w:val="22"/>
  </w:num>
  <w:num w:numId="67" w16cid:durableId="628784336">
    <w:abstractNumId w:val="1"/>
  </w:num>
  <w:num w:numId="68" w16cid:durableId="1929078989">
    <w:abstractNumId w:val="28"/>
  </w:num>
  <w:num w:numId="69" w16cid:durableId="137042608">
    <w:abstractNumId w:val="7"/>
  </w:num>
  <w:num w:numId="70" w16cid:durableId="1664161960">
    <w:abstractNumId w:val="8"/>
  </w:num>
  <w:num w:numId="71" w16cid:durableId="1161773543">
    <w:abstractNumId w:val="6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52FD1"/>
    <w:rsid w:val="00070616"/>
    <w:rsid w:val="00074C27"/>
    <w:rsid w:val="000C2F38"/>
    <w:rsid w:val="000D3E45"/>
    <w:rsid w:val="000F1BE5"/>
    <w:rsid w:val="0012662F"/>
    <w:rsid w:val="001501BB"/>
    <w:rsid w:val="001731CE"/>
    <w:rsid w:val="00197559"/>
    <w:rsid w:val="001A2657"/>
    <w:rsid w:val="001B6EE0"/>
    <w:rsid w:val="001C777A"/>
    <w:rsid w:val="002027B2"/>
    <w:rsid w:val="0021744F"/>
    <w:rsid w:val="0023702E"/>
    <w:rsid w:val="00255C79"/>
    <w:rsid w:val="002C0DA1"/>
    <w:rsid w:val="002D4FAD"/>
    <w:rsid w:val="002F40C4"/>
    <w:rsid w:val="002F4F57"/>
    <w:rsid w:val="00302288"/>
    <w:rsid w:val="00314099"/>
    <w:rsid w:val="00346268"/>
    <w:rsid w:val="003604CE"/>
    <w:rsid w:val="00363FCB"/>
    <w:rsid w:val="00366639"/>
    <w:rsid w:val="00370428"/>
    <w:rsid w:val="00377120"/>
    <w:rsid w:val="00386738"/>
    <w:rsid w:val="00394928"/>
    <w:rsid w:val="003B0BA4"/>
    <w:rsid w:val="003B38C1"/>
    <w:rsid w:val="003C76E4"/>
    <w:rsid w:val="003F3433"/>
    <w:rsid w:val="004237BC"/>
    <w:rsid w:val="004273BC"/>
    <w:rsid w:val="00456EE2"/>
    <w:rsid w:val="004706BD"/>
    <w:rsid w:val="004707C7"/>
    <w:rsid w:val="00471531"/>
    <w:rsid w:val="004842CC"/>
    <w:rsid w:val="004B3B50"/>
    <w:rsid w:val="004E7287"/>
    <w:rsid w:val="004F176B"/>
    <w:rsid w:val="004F264A"/>
    <w:rsid w:val="005261E1"/>
    <w:rsid w:val="00535FD8"/>
    <w:rsid w:val="00563596"/>
    <w:rsid w:val="00564B52"/>
    <w:rsid w:val="005741B9"/>
    <w:rsid w:val="005D7BA8"/>
    <w:rsid w:val="005E4504"/>
    <w:rsid w:val="00605A04"/>
    <w:rsid w:val="006620F6"/>
    <w:rsid w:val="00675E12"/>
    <w:rsid w:val="006B6910"/>
    <w:rsid w:val="006E3F3C"/>
    <w:rsid w:val="006E506B"/>
    <w:rsid w:val="006F59EC"/>
    <w:rsid w:val="00713965"/>
    <w:rsid w:val="00737B88"/>
    <w:rsid w:val="0076551D"/>
    <w:rsid w:val="00774358"/>
    <w:rsid w:val="007823BA"/>
    <w:rsid w:val="0079197B"/>
    <w:rsid w:val="0079767B"/>
    <w:rsid w:val="007B2B75"/>
    <w:rsid w:val="008076DF"/>
    <w:rsid w:val="0084161E"/>
    <w:rsid w:val="0085496D"/>
    <w:rsid w:val="00885941"/>
    <w:rsid w:val="00891B3F"/>
    <w:rsid w:val="008A7105"/>
    <w:rsid w:val="008D1212"/>
    <w:rsid w:val="008D52A1"/>
    <w:rsid w:val="008F2895"/>
    <w:rsid w:val="00966A70"/>
    <w:rsid w:val="0097617D"/>
    <w:rsid w:val="00992DAA"/>
    <w:rsid w:val="009A2428"/>
    <w:rsid w:val="009C649D"/>
    <w:rsid w:val="009E65C3"/>
    <w:rsid w:val="00A1298B"/>
    <w:rsid w:val="00A736F2"/>
    <w:rsid w:val="00A751ED"/>
    <w:rsid w:val="00AE7709"/>
    <w:rsid w:val="00B0656E"/>
    <w:rsid w:val="00B505E5"/>
    <w:rsid w:val="00B64CB6"/>
    <w:rsid w:val="00B65627"/>
    <w:rsid w:val="00B66826"/>
    <w:rsid w:val="00B7020A"/>
    <w:rsid w:val="00B7619D"/>
    <w:rsid w:val="00B87ACE"/>
    <w:rsid w:val="00BA7024"/>
    <w:rsid w:val="00BC73BD"/>
    <w:rsid w:val="00BD284D"/>
    <w:rsid w:val="00BD424D"/>
    <w:rsid w:val="00BF5626"/>
    <w:rsid w:val="00C235F7"/>
    <w:rsid w:val="00C2494C"/>
    <w:rsid w:val="00C26E4C"/>
    <w:rsid w:val="00C35FC7"/>
    <w:rsid w:val="00C43F53"/>
    <w:rsid w:val="00C56452"/>
    <w:rsid w:val="00C602B5"/>
    <w:rsid w:val="00C834A1"/>
    <w:rsid w:val="00CC3E56"/>
    <w:rsid w:val="00D0077A"/>
    <w:rsid w:val="00D11BA3"/>
    <w:rsid w:val="00D2239A"/>
    <w:rsid w:val="00D471D0"/>
    <w:rsid w:val="00D62BA3"/>
    <w:rsid w:val="00D77D31"/>
    <w:rsid w:val="00D824D4"/>
    <w:rsid w:val="00DD5508"/>
    <w:rsid w:val="00DF0F0B"/>
    <w:rsid w:val="00E001E5"/>
    <w:rsid w:val="00E17F96"/>
    <w:rsid w:val="00E339CE"/>
    <w:rsid w:val="00E46B95"/>
    <w:rsid w:val="00E75FD2"/>
    <w:rsid w:val="00E9408F"/>
    <w:rsid w:val="00EA747A"/>
    <w:rsid w:val="00EE6D97"/>
    <w:rsid w:val="00EF3482"/>
    <w:rsid w:val="00EF6D36"/>
    <w:rsid w:val="00F02986"/>
    <w:rsid w:val="00F16111"/>
    <w:rsid w:val="00F375D9"/>
    <w:rsid w:val="00F44290"/>
    <w:rsid w:val="00F47FF5"/>
    <w:rsid w:val="00F600AC"/>
    <w:rsid w:val="00F608C3"/>
    <w:rsid w:val="00F66028"/>
    <w:rsid w:val="00F66AA7"/>
    <w:rsid w:val="00F70930"/>
    <w:rsid w:val="00F71711"/>
    <w:rsid w:val="00F72419"/>
    <w:rsid w:val="00F8625B"/>
    <w:rsid w:val="00F975D5"/>
    <w:rsid w:val="00FA2C27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zetargi@7szm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rzetargi@7szm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7szm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10" Type="http://schemas.openxmlformats.org/officeDocument/2006/relationships/hyperlink" Target="http://www.7szm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kretariat@7szmw.pl" TargetMode="External"/><Relationship Id="rId14" Type="http://schemas.openxmlformats.org/officeDocument/2006/relationships/hyperlink" Target="https://www.7szmw.pl/oglos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F0A8-1492-4E4E-9296-5B7170DE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7808</Words>
  <Characters>46853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4</cp:revision>
  <dcterms:created xsi:type="dcterms:W3CDTF">2026-03-23T09:12:00Z</dcterms:created>
  <dcterms:modified xsi:type="dcterms:W3CDTF">2026-03-23T11:02:00Z</dcterms:modified>
</cp:coreProperties>
</file>