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22D6AC2D" w:rsidR="00564B52" w:rsidRPr="0076551D" w:rsidRDefault="00564B52" w:rsidP="0057540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0B39C02" w14:textId="77777777" w:rsidR="0057540D" w:rsidRDefault="0057540D" w:rsidP="0057540D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CE915EA" w14:textId="2097F58B" w:rsidR="00564B52" w:rsidRPr="00D11BA3" w:rsidRDefault="0057540D" w:rsidP="0057540D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ASORTYMENTU OKULISTYCZNEGO</w:t>
      </w:r>
    </w:p>
    <w:p w14:paraId="64FA6AA7" w14:textId="08477E04" w:rsidR="00564B52" w:rsidRPr="00D11BA3" w:rsidRDefault="00363FCB" w:rsidP="00363FC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57540D">
        <w:rPr>
          <w:rFonts w:ascii="Verdana" w:hAnsi="Verdana"/>
          <w:sz w:val="16"/>
          <w:szCs w:val="16"/>
        </w:rPr>
        <w:t>165/2026/PN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78EFD9B" w14:textId="77777777" w:rsidR="0057540D" w:rsidRPr="00D11BA3" w:rsidRDefault="0057540D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7FBEBC03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363FCB">
        <w:rPr>
          <w:rFonts w:ascii="Verdana" w:hAnsi="Verdana"/>
          <w:sz w:val="16"/>
          <w:szCs w:val="16"/>
        </w:rPr>
        <w:t>6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50A04E44" w14:textId="77777777" w:rsidR="0057540D" w:rsidRDefault="0057540D" w:rsidP="0057540D">
      <w:pPr>
        <w:tabs>
          <w:tab w:val="left" w:pos="3825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010AC2BF" w:rsidR="003B0BA4" w:rsidRDefault="00564B52" w:rsidP="0057540D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57540D">
        <w:rPr>
          <w:rFonts w:ascii="Verdana" w:hAnsi="Verdana"/>
          <w:sz w:val="16"/>
          <w:szCs w:val="16"/>
        </w:rPr>
        <w:t>dostawa asortymentu okulistycznego w 11 częściach.</w:t>
      </w:r>
    </w:p>
    <w:p w14:paraId="7A9B9CB5" w14:textId="6CC6BB91" w:rsidR="00564B52" w:rsidRPr="0057540D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73D4DC24" w14:textId="77777777" w:rsidR="0057540D" w:rsidRPr="0057540D" w:rsidRDefault="0057540D" w:rsidP="0057540D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57540D">
        <w:rPr>
          <w:rFonts w:ascii="Verdana" w:hAnsi="Verdana"/>
          <w:b/>
          <w:bCs/>
          <w:sz w:val="16"/>
          <w:szCs w:val="16"/>
        </w:rPr>
        <w:t>33730000-6 – Produkty do pielęgnacji oczu i soczewki korekcyjne</w:t>
      </w:r>
    </w:p>
    <w:p w14:paraId="480E3BDA" w14:textId="77777777" w:rsidR="0057540D" w:rsidRPr="0057540D" w:rsidRDefault="0057540D" w:rsidP="0057540D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57540D">
        <w:rPr>
          <w:rFonts w:ascii="Verdana" w:hAnsi="Verdana"/>
          <w:b/>
          <w:bCs/>
          <w:sz w:val="16"/>
          <w:szCs w:val="16"/>
        </w:rPr>
        <w:t>33731110-3 – Soczewki śródoczne</w:t>
      </w:r>
    </w:p>
    <w:p w14:paraId="3EB5F5AE" w14:textId="651AEDE3" w:rsidR="0057540D" w:rsidRPr="00C43F53" w:rsidRDefault="0057540D" w:rsidP="0057540D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57540D">
        <w:rPr>
          <w:rFonts w:ascii="Verdana" w:hAnsi="Verdana"/>
          <w:b/>
          <w:bCs/>
          <w:sz w:val="16"/>
          <w:szCs w:val="16"/>
        </w:rPr>
        <w:t>33140000-3 – Materiały medyczne</w:t>
      </w:r>
    </w:p>
    <w:p w14:paraId="5AB7510F" w14:textId="1F606F1A" w:rsidR="00C43F53" w:rsidRPr="00C43F53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363FCB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C43F53">
        <w:rPr>
          <w:rFonts w:ascii="Verdana" w:hAnsi="Verdana"/>
          <w:sz w:val="16"/>
          <w:szCs w:val="16"/>
        </w:rPr>
        <w:t>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0CC83ECF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57540D">
        <w:rPr>
          <w:rFonts w:ascii="Verdana" w:hAnsi="Verdana"/>
          <w:sz w:val="16"/>
          <w:szCs w:val="16"/>
        </w:rPr>
        <w:t>36</w:t>
      </w:r>
      <w:r w:rsidRPr="00D11BA3">
        <w:rPr>
          <w:rFonts w:ascii="Verdana" w:hAnsi="Verdana"/>
          <w:sz w:val="16"/>
          <w:szCs w:val="16"/>
        </w:rPr>
        <w:t xml:space="preserve"> miesięcy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3C2CA7F4" w:rsidR="00992DAA" w:rsidRPr="00C602B5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BC73BD">
        <w:rPr>
          <w:rFonts w:ascii="Verdana" w:hAnsi="Verdana"/>
          <w:b/>
          <w:bCs/>
          <w:sz w:val="16"/>
          <w:szCs w:val="16"/>
        </w:rPr>
        <w:t xml:space="preserve"> </w:t>
      </w:r>
      <w:r w:rsidR="00BC73BD" w:rsidRPr="00BC73BD">
        <w:rPr>
          <w:rFonts w:ascii="Verdana" w:hAnsi="Verdana"/>
          <w:sz w:val="16"/>
          <w:szCs w:val="16"/>
        </w:rPr>
        <w:t>(w 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3C76E4">
        <w:rPr>
          <w:rFonts w:ascii="Verdana" w:hAnsi="Verdana"/>
          <w:sz w:val="16"/>
          <w:szCs w:val="16"/>
        </w:rPr>
        <w:t xml:space="preserve">: </w:t>
      </w:r>
      <w:r w:rsidR="0057540D">
        <w:rPr>
          <w:rFonts w:ascii="Verdana" w:hAnsi="Verdana"/>
          <w:sz w:val="16"/>
          <w:szCs w:val="16"/>
        </w:rPr>
        <w:t>BRAK</w:t>
      </w:r>
      <w:r w:rsidR="003C76E4">
        <w:rPr>
          <w:rFonts w:ascii="Verdana" w:hAnsi="Verdana"/>
          <w:sz w:val="16"/>
          <w:szCs w:val="16"/>
        </w:rPr>
        <w:t>.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3BCAC37A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lastRenderedPageBreak/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lastRenderedPageBreak/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599F3385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57540D">
        <w:rPr>
          <w:rFonts w:ascii="Verdana" w:hAnsi="Verdana"/>
          <w:sz w:val="16"/>
          <w:szCs w:val="16"/>
        </w:rPr>
        <w:t>14.05.2026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57540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lastRenderedPageBreak/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64EDC5C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57540D">
        <w:rPr>
          <w:rFonts w:ascii="Verdana" w:hAnsi="Verdana"/>
          <w:sz w:val="16"/>
          <w:szCs w:val="16"/>
        </w:rPr>
        <w:t>14.05.2026 r.</w:t>
      </w:r>
      <w:r w:rsidR="00363FCB">
        <w:rPr>
          <w:rFonts w:ascii="Verdana" w:hAnsi="Verdana"/>
          <w:sz w:val="16"/>
          <w:szCs w:val="16"/>
        </w:rPr>
        <w:t>,</w:t>
      </w:r>
      <w:r w:rsidRPr="00F70930">
        <w:rPr>
          <w:rFonts w:ascii="Verdana" w:hAnsi="Verdana"/>
          <w:sz w:val="16"/>
          <w:szCs w:val="16"/>
        </w:rPr>
        <w:t xml:space="preserve"> o godzinie </w:t>
      </w:r>
      <w:r w:rsidR="0057540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1FE3DFF8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363FCB" w:rsidRPr="00F70930">
        <w:rPr>
          <w:rFonts w:ascii="Verdana" w:hAnsi="Verdana"/>
          <w:sz w:val="16"/>
          <w:szCs w:val="16"/>
        </w:rPr>
        <w:t>udostę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63FCB" w:rsidRPr="00F70930">
        <w:rPr>
          <w:rFonts w:ascii="Verdana" w:hAnsi="Verdana"/>
          <w:sz w:val="16"/>
          <w:szCs w:val="16"/>
        </w:rPr>
        <w:t>poste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wniosków o dopuszczenie do udziału </w:t>
      </w:r>
      <w:r w:rsidRPr="00563596">
        <w:rPr>
          <w:rFonts w:ascii="Verdana" w:hAnsi="Verdana"/>
          <w:sz w:val="16"/>
          <w:szCs w:val="16"/>
        </w:rPr>
        <w:lastRenderedPageBreak/>
        <w:t>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250F8036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</w:t>
      </w:r>
      <w:r w:rsidR="00BC73BD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o udzielenie zamówienia</w:t>
      </w:r>
    </w:p>
    <w:p w14:paraId="53756FF8" w14:textId="175582EA" w:rsidR="00BC73BD" w:rsidRPr="00563596" w:rsidRDefault="00966A70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art.</w:t>
      </w:r>
      <w:r>
        <w:t xml:space="preserve"> </w:t>
      </w:r>
      <w:r w:rsidRPr="00966A70">
        <w:rPr>
          <w:rFonts w:ascii="Verdana" w:hAnsi="Verdana"/>
          <w:sz w:val="16"/>
          <w:szCs w:val="16"/>
        </w:rPr>
        <w:t xml:space="preserve">1 ust. 1 rozporządzenia Wykonawczego Komisji (UE) 2025/1197 z dnia 19 czerwca 2025 r. nakładającego środek Instrumentu Zamówień międzynarodowych </w:t>
      </w:r>
      <w:r w:rsidRPr="00966A70">
        <w:rPr>
          <w:rFonts w:ascii="Verdana" w:hAnsi="Verdana"/>
          <w:b/>
          <w:bCs/>
          <w:sz w:val="16"/>
          <w:szCs w:val="16"/>
        </w:rPr>
        <w:t>ograniczającego dostęp wykonawców i wyrobów medycznych pochodzących z Chińskiej Republiki Ludowej</w:t>
      </w:r>
      <w:r w:rsidRPr="00966A70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50BEF6BF" w:rsidR="00564B52" w:rsidRDefault="00564B52" w:rsidP="00966A70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F8FDA8B" w14:textId="7B1C4B84" w:rsidR="00BC73BD" w:rsidRDefault="00BC73BD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BC73BD"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081B39C5" w14:textId="30F49CE1" w:rsidR="00966A70" w:rsidRDefault="00966A70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083E4F9E" w14:textId="77777777" w:rsidR="00966A70" w:rsidRDefault="00966A70" w:rsidP="00966A70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59810F61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4737D1CE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4378B64F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08F6D2D0" w14:textId="77777777" w:rsidR="00966A70" w:rsidRPr="00005A1C" w:rsidRDefault="00966A70" w:rsidP="00966A7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4FABA9FD" w14:textId="77777777" w:rsidR="00966A70" w:rsidRDefault="00966A70" w:rsidP="00966A70">
      <w:pPr>
        <w:pStyle w:val="Akapitzlist"/>
        <w:spacing w:after="0" w:line="360" w:lineRule="auto"/>
        <w:ind w:left="360"/>
        <w:rPr>
          <w:rFonts w:ascii="Verdana" w:hAnsi="Verdana"/>
          <w:b/>
          <w:bCs/>
          <w:sz w:val="16"/>
          <w:szCs w:val="16"/>
        </w:rPr>
      </w:pPr>
    </w:p>
    <w:p w14:paraId="2B49C25E" w14:textId="468C1C01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lastRenderedPageBreak/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77777777" w:rsidR="0079767B" w:rsidRPr="00074C27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7F77" w14:textId="77777777" w:rsidR="00B9787A" w:rsidRDefault="00B9787A" w:rsidP="00D11BA3">
      <w:pPr>
        <w:spacing w:after="0" w:line="240" w:lineRule="auto"/>
      </w:pPr>
      <w:r>
        <w:separator/>
      </w:r>
    </w:p>
  </w:endnote>
  <w:endnote w:type="continuationSeparator" w:id="0">
    <w:p w14:paraId="182F5F49" w14:textId="77777777" w:rsidR="00B9787A" w:rsidRDefault="00B9787A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316C" w14:textId="77777777" w:rsidR="00B9787A" w:rsidRDefault="00B9787A" w:rsidP="00D11BA3">
      <w:pPr>
        <w:spacing w:after="0" w:line="240" w:lineRule="auto"/>
      </w:pPr>
      <w:r>
        <w:separator/>
      </w:r>
    </w:p>
  </w:footnote>
  <w:footnote w:type="continuationSeparator" w:id="0">
    <w:p w14:paraId="63F592FE" w14:textId="77777777" w:rsidR="00B9787A" w:rsidRDefault="00B9787A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2"/>
  </w:num>
  <w:num w:numId="2" w16cid:durableId="2092389883">
    <w:abstractNumId w:val="17"/>
  </w:num>
  <w:num w:numId="3" w16cid:durableId="1518545791">
    <w:abstractNumId w:val="6"/>
  </w:num>
  <w:num w:numId="4" w16cid:durableId="939214368">
    <w:abstractNumId w:val="25"/>
  </w:num>
  <w:num w:numId="5" w16cid:durableId="1179809429">
    <w:abstractNumId w:val="33"/>
  </w:num>
  <w:num w:numId="6" w16cid:durableId="2145152432">
    <w:abstractNumId w:val="37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40"/>
  </w:num>
  <w:num w:numId="10" w16cid:durableId="2106680749">
    <w:abstractNumId w:val="13"/>
  </w:num>
  <w:num w:numId="11" w16cid:durableId="297731914">
    <w:abstractNumId w:val="29"/>
  </w:num>
  <w:num w:numId="12" w16cid:durableId="76636892">
    <w:abstractNumId w:val="28"/>
  </w:num>
  <w:num w:numId="13" w16cid:durableId="993990420">
    <w:abstractNumId w:val="27"/>
  </w:num>
  <w:num w:numId="14" w16cid:durableId="1785689210">
    <w:abstractNumId w:val="18"/>
  </w:num>
  <w:num w:numId="15" w16cid:durableId="1569655273">
    <w:abstractNumId w:val="31"/>
  </w:num>
  <w:num w:numId="16" w16cid:durableId="1104496421">
    <w:abstractNumId w:val="22"/>
  </w:num>
  <w:num w:numId="17" w16cid:durableId="2000226572">
    <w:abstractNumId w:val="7"/>
  </w:num>
  <w:num w:numId="18" w16cid:durableId="281691013">
    <w:abstractNumId w:val="34"/>
  </w:num>
  <w:num w:numId="19" w16cid:durableId="795758185">
    <w:abstractNumId w:val="43"/>
  </w:num>
  <w:num w:numId="20" w16cid:durableId="1743873717">
    <w:abstractNumId w:val="42"/>
  </w:num>
  <w:num w:numId="21" w16cid:durableId="32930515">
    <w:abstractNumId w:val="35"/>
  </w:num>
  <w:num w:numId="22" w16cid:durableId="1943612000">
    <w:abstractNumId w:val="36"/>
  </w:num>
  <w:num w:numId="23" w16cid:durableId="1937400225">
    <w:abstractNumId w:val="24"/>
  </w:num>
  <w:num w:numId="24" w16cid:durableId="120656277">
    <w:abstractNumId w:val="11"/>
  </w:num>
  <w:num w:numId="25" w16cid:durableId="1616061713">
    <w:abstractNumId w:val="41"/>
  </w:num>
  <w:num w:numId="26" w16cid:durableId="700470834">
    <w:abstractNumId w:val="9"/>
  </w:num>
  <w:num w:numId="27" w16cid:durableId="433091320">
    <w:abstractNumId w:val="45"/>
  </w:num>
  <w:num w:numId="28" w16cid:durableId="957831886">
    <w:abstractNumId w:val="10"/>
  </w:num>
  <w:num w:numId="29" w16cid:durableId="2072577842">
    <w:abstractNumId w:val="38"/>
  </w:num>
  <w:num w:numId="30" w16cid:durableId="564337956">
    <w:abstractNumId w:val="19"/>
  </w:num>
  <w:num w:numId="31" w16cid:durableId="1006903543">
    <w:abstractNumId w:val="20"/>
  </w:num>
  <w:num w:numId="32" w16cid:durableId="1459375617">
    <w:abstractNumId w:val="30"/>
  </w:num>
  <w:num w:numId="33" w16cid:durableId="1756050241">
    <w:abstractNumId w:val="39"/>
  </w:num>
  <w:num w:numId="34" w16cid:durableId="1082066368">
    <w:abstractNumId w:val="26"/>
  </w:num>
  <w:num w:numId="35" w16cid:durableId="1724451286">
    <w:abstractNumId w:val="21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4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 w:numId="46" w16cid:durableId="126827428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04CE"/>
    <w:rsid w:val="00363FCB"/>
    <w:rsid w:val="00366639"/>
    <w:rsid w:val="00394928"/>
    <w:rsid w:val="003B0BA4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F176B"/>
    <w:rsid w:val="004F264A"/>
    <w:rsid w:val="005261E1"/>
    <w:rsid w:val="00563596"/>
    <w:rsid w:val="00564B52"/>
    <w:rsid w:val="005741B9"/>
    <w:rsid w:val="0057540D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74358"/>
    <w:rsid w:val="007823BA"/>
    <w:rsid w:val="0079197B"/>
    <w:rsid w:val="0079767B"/>
    <w:rsid w:val="007B2B75"/>
    <w:rsid w:val="008076DF"/>
    <w:rsid w:val="0084161E"/>
    <w:rsid w:val="0085496D"/>
    <w:rsid w:val="00885941"/>
    <w:rsid w:val="00891B3F"/>
    <w:rsid w:val="008A7105"/>
    <w:rsid w:val="008D52A1"/>
    <w:rsid w:val="008F2895"/>
    <w:rsid w:val="00922E69"/>
    <w:rsid w:val="00966A70"/>
    <w:rsid w:val="0097617D"/>
    <w:rsid w:val="00992DAA"/>
    <w:rsid w:val="009C649D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9787A"/>
    <w:rsid w:val="00BA7024"/>
    <w:rsid w:val="00BC73BD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46B95"/>
    <w:rsid w:val="00E75FD2"/>
    <w:rsid w:val="00E9408F"/>
    <w:rsid w:val="00EA747A"/>
    <w:rsid w:val="00EE6D97"/>
    <w:rsid w:val="00EF6D36"/>
    <w:rsid w:val="00F16111"/>
    <w:rsid w:val="00F375D9"/>
    <w:rsid w:val="00F44290"/>
    <w:rsid w:val="00F47FF5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4857</Words>
  <Characters>29148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2026-04-03T10:12:00Z</cp:lastPrinted>
  <dcterms:created xsi:type="dcterms:W3CDTF">2026-04-03T10:12:00Z</dcterms:created>
  <dcterms:modified xsi:type="dcterms:W3CDTF">2026-04-03T10:12:00Z</dcterms:modified>
</cp:coreProperties>
</file>